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5B" w:rsidRPr="00995F5B" w:rsidRDefault="00995F5B" w:rsidP="00995F5B">
      <w:pPr>
        <w:spacing w:after="0" w:line="240" w:lineRule="auto"/>
        <w:jc w:val="center"/>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РОССИЙСКАЯ ФЕДЕРАЦИЯ</w:t>
      </w:r>
    </w:p>
    <w:p w:rsidR="00995F5B" w:rsidRPr="00995F5B" w:rsidRDefault="00995F5B" w:rsidP="00995F5B">
      <w:pPr>
        <w:spacing w:after="0" w:line="240" w:lineRule="auto"/>
        <w:jc w:val="center"/>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СОВЕТ НАРОДНЫХ ДЕПУТАТОВ</w:t>
      </w:r>
    </w:p>
    <w:p w:rsidR="00995F5B" w:rsidRPr="00995F5B" w:rsidRDefault="00995F5B" w:rsidP="00995F5B">
      <w:pPr>
        <w:spacing w:after="0" w:line="240" w:lineRule="auto"/>
        <w:jc w:val="center"/>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ПОДГОРЕНСКОГО СЕЛЬСКОГО ПОСЕЛЕНИЯ</w:t>
      </w:r>
    </w:p>
    <w:p w:rsidR="00995F5B" w:rsidRPr="00995F5B" w:rsidRDefault="00995F5B" w:rsidP="00995F5B">
      <w:pPr>
        <w:spacing w:after="0" w:line="240" w:lineRule="auto"/>
        <w:jc w:val="center"/>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КАЛАЧЕЕВСКОГО МУНИЦИПАЛЬНОГО РАЙОНА</w:t>
      </w:r>
    </w:p>
    <w:p w:rsidR="00995F5B" w:rsidRPr="00995F5B" w:rsidRDefault="00995F5B" w:rsidP="00995F5B">
      <w:pPr>
        <w:spacing w:after="0" w:line="240" w:lineRule="auto"/>
        <w:jc w:val="center"/>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ВОРОНЕЖСКОЙ ОБЛАСТИ</w:t>
      </w:r>
    </w:p>
    <w:p w:rsidR="00995F5B" w:rsidRPr="00995F5B" w:rsidRDefault="00995F5B" w:rsidP="00995F5B">
      <w:pPr>
        <w:spacing w:after="0" w:line="240" w:lineRule="auto"/>
        <w:jc w:val="center"/>
        <w:rPr>
          <w:rFonts w:ascii="Arial" w:eastAsia="Times New Roman" w:hAnsi="Arial" w:cs="Arial"/>
          <w:color w:val="000000"/>
          <w:sz w:val="24"/>
          <w:szCs w:val="24"/>
          <w:lang w:eastAsia="ru-RU"/>
        </w:rPr>
      </w:pPr>
      <w:r w:rsidRPr="00995F5B">
        <w:rPr>
          <w:rFonts w:ascii="Arial" w:eastAsia="Times New Roman" w:hAnsi="Arial" w:cs="Arial"/>
          <w:color w:val="000000"/>
          <w:spacing w:val="30"/>
          <w:sz w:val="24"/>
          <w:szCs w:val="24"/>
          <w:lang w:eastAsia="ru-RU"/>
        </w:rPr>
        <w:t>РЕШЕНИЕ</w:t>
      </w:r>
    </w:p>
    <w:p w:rsidR="00995F5B" w:rsidRPr="00995F5B" w:rsidRDefault="00995F5B" w:rsidP="00995F5B">
      <w:pPr>
        <w:spacing w:after="0" w:line="240" w:lineRule="auto"/>
        <w:ind w:right="4820"/>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от 26 ноября 2021 г. №47</w:t>
      </w:r>
      <w:r w:rsidRPr="00995F5B">
        <w:rPr>
          <w:rFonts w:ascii="Arial" w:eastAsia="Times New Roman" w:hAnsi="Arial" w:cs="Arial"/>
          <w:color w:val="FFFFFF"/>
          <w:sz w:val="24"/>
          <w:szCs w:val="24"/>
          <w:lang w:eastAsia="ru-RU"/>
        </w:rPr>
        <w:t>32</w:t>
      </w:r>
    </w:p>
    <w:p w:rsidR="00995F5B" w:rsidRPr="00995F5B" w:rsidRDefault="00995F5B" w:rsidP="00995F5B">
      <w:pPr>
        <w:spacing w:after="0" w:line="240" w:lineRule="auto"/>
        <w:ind w:right="4820"/>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с. Подгорное</w:t>
      </w:r>
    </w:p>
    <w:p w:rsidR="00995F5B" w:rsidRPr="00995F5B" w:rsidRDefault="00995F5B" w:rsidP="00995F5B">
      <w:pPr>
        <w:spacing w:after="0" w:line="240" w:lineRule="auto"/>
        <w:ind w:right="4820"/>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(в ред. реш. от 28.03.2022 № 70, от 15.05.2023 № 116, от 21.08.2023 № 131, от 27.12.2023 № 158, от 29.02.2024 № 168, от 29.07.2024 № 186)</w:t>
      </w:r>
    </w:p>
    <w:p w:rsidR="00995F5B" w:rsidRPr="00995F5B" w:rsidRDefault="00995F5B" w:rsidP="00995F5B">
      <w:pPr>
        <w:spacing w:before="240" w:after="60" w:line="240" w:lineRule="auto"/>
        <w:ind w:firstLine="567"/>
        <w:jc w:val="center"/>
        <w:rPr>
          <w:rFonts w:ascii="Arial" w:eastAsia="Times New Roman" w:hAnsi="Arial" w:cs="Arial"/>
          <w:b/>
          <w:bCs/>
          <w:color w:val="000000"/>
          <w:sz w:val="32"/>
          <w:szCs w:val="32"/>
          <w:lang w:eastAsia="ru-RU"/>
        </w:rPr>
      </w:pPr>
      <w:r w:rsidRPr="00995F5B">
        <w:rPr>
          <w:rFonts w:ascii="Arial" w:eastAsia="Times New Roman" w:hAnsi="Arial" w:cs="Arial"/>
          <w:b/>
          <w:bCs/>
          <w:color w:val="000000"/>
          <w:sz w:val="32"/>
          <w:szCs w:val="32"/>
          <w:lang w:eastAsia="ru-RU"/>
        </w:rPr>
        <w:t>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(ред. реш. от 28.03.2022 № 70 в преамбулу внесены изм.)</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В соответствии со статьей 20 Жилищного кодекса Российской Федерации, статьей 3 Федерального закона от 31.07.2020 №248-ФЗ «О государственном контроле (надзоре) и муниципальном контроле в Российской Федерации», Уставом Подгоренского сельского поселения Калачеевского муниципального района Воронежской области, Совет народных депутатов Подгоренского сельского поселения Калачеевского муниципального района Воронежской области решил:</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1. Утвердить прилагаемое Положение о муниципальном жилищном контроле на территории Подгоренского сельского поселения Калачеевского муниципального района Воронежской области.</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2. Опубликовать настоящее решение в Вестнике муниципальных правовых актов Подгоренского сельского поселения.</w:t>
      </w:r>
    </w:p>
    <w:p w:rsidR="00995F5B" w:rsidRPr="00995F5B" w:rsidRDefault="00995F5B" w:rsidP="00995F5B">
      <w:pPr>
        <w:spacing w:after="0" w:line="240" w:lineRule="auto"/>
        <w:ind w:firstLine="709"/>
        <w:jc w:val="both"/>
        <w:rPr>
          <w:rFonts w:ascii="Arial" w:eastAsia="Times New Roman" w:hAnsi="Arial" w:cs="Arial"/>
          <w:b/>
          <w:bCs/>
          <w:color w:val="000000"/>
          <w:sz w:val="24"/>
          <w:szCs w:val="24"/>
          <w:lang w:eastAsia="ru-RU"/>
        </w:rPr>
      </w:pPr>
      <w:r w:rsidRPr="00995F5B">
        <w:rPr>
          <w:rFonts w:ascii="Arial" w:eastAsia="Times New Roman" w:hAnsi="Arial" w:cs="Arial"/>
          <w:color w:val="000000"/>
          <w:sz w:val="24"/>
          <w:szCs w:val="24"/>
          <w:lang w:eastAsia="ru-RU"/>
        </w:rPr>
        <w:t>3. Настоящее решение вступает в силу со дня его официального опубликования, но не ранее 1 января 2022 года, за исключением положений пункта 36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w:t>
      </w:r>
    </w:p>
    <w:p w:rsidR="00995F5B" w:rsidRPr="00995F5B" w:rsidRDefault="00995F5B" w:rsidP="00995F5B">
      <w:pPr>
        <w:spacing w:after="0" w:line="240" w:lineRule="auto"/>
        <w:ind w:firstLine="709"/>
        <w:jc w:val="both"/>
        <w:rPr>
          <w:rFonts w:ascii="Arial" w:eastAsia="Times New Roman" w:hAnsi="Arial" w:cs="Arial"/>
          <w:b/>
          <w:bCs/>
          <w:color w:val="000000"/>
          <w:sz w:val="24"/>
          <w:szCs w:val="24"/>
          <w:lang w:eastAsia="ru-RU"/>
        </w:rPr>
      </w:pPr>
      <w:r w:rsidRPr="00995F5B">
        <w:rPr>
          <w:rFonts w:ascii="Arial" w:eastAsia="Times New Roman" w:hAnsi="Arial" w:cs="Arial"/>
          <w:color w:val="000000"/>
          <w:sz w:val="24"/>
          <w:szCs w:val="24"/>
          <w:lang w:eastAsia="ru-RU"/>
        </w:rPr>
        <w:t>Положения пункта 36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 вступают в силу с 1 марта 2022 года.</w:t>
      </w:r>
    </w:p>
    <w:p w:rsidR="00995F5B" w:rsidRPr="00995F5B" w:rsidRDefault="00995F5B" w:rsidP="00995F5B">
      <w:pPr>
        <w:spacing w:after="0" w:line="240" w:lineRule="auto"/>
        <w:ind w:firstLine="709"/>
        <w:jc w:val="both"/>
        <w:rPr>
          <w:rFonts w:ascii="Arial" w:eastAsia="Times New Roman" w:hAnsi="Arial" w:cs="Arial"/>
          <w:b/>
          <w:bCs/>
          <w:color w:val="000000"/>
          <w:sz w:val="24"/>
          <w:szCs w:val="24"/>
          <w:lang w:eastAsia="ru-RU"/>
        </w:rPr>
      </w:pPr>
      <w:r w:rsidRPr="00995F5B">
        <w:rPr>
          <w:rFonts w:ascii="Arial" w:eastAsia="Times New Roman" w:hAnsi="Arial" w:cs="Arial"/>
          <w:color w:val="000000"/>
          <w:sz w:val="24"/>
          <w:szCs w:val="24"/>
          <w:lang w:eastAsia="ru-RU"/>
        </w:rPr>
        <w:t>4. Контроль за исполнением настоящего решения оставляю за собой.</w:t>
      </w:r>
    </w:p>
    <w:p w:rsidR="00995F5B" w:rsidRPr="00995F5B" w:rsidRDefault="00995F5B" w:rsidP="00995F5B">
      <w:pPr>
        <w:spacing w:after="0" w:line="240" w:lineRule="auto"/>
        <w:ind w:firstLine="709"/>
        <w:jc w:val="both"/>
        <w:rPr>
          <w:rFonts w:ascii="Arial" w:eastAsia="Times New Roman" w:hAnsi="Arial" w:cs="Arial"/>
          <w:b/>
          <w:bCs/>
          <w:color w:val="000000"/>
          <w:sz w:val="24"/>
          <w:szCs w:val="24"/>
          <w:lang w:eastAsia="ru-RU"/>
        </w:rPr>
      </w:pPr>
      <w:r w:rsidRPr="00995F5B">
        <w:rPr>
          <w:rFonts w:ascii="Arial" w:eastAsia="Times New Roman" w:hAnsi="Arial" w:cs="Arial"/>
          <w:color w:val="000000"/>
          <w:sz w:val="24"/>
          <w:szCs w:val="24"/>
          <w:lang w:eastAsia="ru-RU"/>
        </w:rPr>
        <w:t> </w:t>
      </w:r>
    </w:p>
    <w:p w:rsidR="00995F5B" w:rsidRPr="00995F5B" w:rsidRDefault="00995F5B" w:rsidP="00995F5B">
      <w:pPr>
        <w:spacing w:after="0" w:line="240" w:lineRule="auto"/>
        <w:ind w:firstLine="709"/>
        <w:jc w:val="both"/>
        <w:rPr>
          <w:rFonts w:ascii="Arial" w:eastAsia="Times New Roman" w:hAnsi="Arial" w:cs="Arial"/>
          <w:b/>
          <w:bCs/>
          <w:color w:val="000000"/>
          <w:sz w:val="24"/>
          <w:szCs w:val="24"/>
          <w:lang w:eastAsia="ru-RU"/>
        </w:rPr>
      </w:pPr>
      <w:r w:rsidRPr="00995F5B">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758"/>
        <w:gridCol w:w="2787"/>
        <w:gridCol w:w="3026"/>
      </w:tblGrid>
      <w:tr w:rsidR="00995F5B" w:rsidRPr="00995F5B" w:rsidTr="00995F5B">
        <w:tc>
          <w:tcPr>
            <w:tcW w:w="3208" w:type="dxa"/>
            <w:tcMar>
              <w:top w:w="0" w:type="dxa"/>
              <w:left w:w="108" w:type="dxa"/>
              <w:bottom w:w="0" w:type="dxa"/>
              <w:right w:w="108" w:type="dxa"/>
            </w:tcMar>
            <w:hideMark/>
          </w:tcPr>
          <w:p w:rsidR="00995F5B" w:rsidRPr="00995F5B" w:rsidRDefault="00995F5B" w:rsidP="00995F5B">
            <w:pPr>
              <w:spacing w:after="0" w:line="240" w:lineRule="auto"/>
              <w:jc w:val="both"/>
              <w:rPr>
                <w:rFonts w:ascii="Arial" w:eastAsia="Times New Roman" w:hAnsi="Arial" w:cs="Arial"/>
                <w:b/>
                <w:bCs/>
                <w:sz w:val="24"/>
                <w:szCs w:val="24"/>
                <w:lang w:eastAsia="ru-RU"/>
              </w:rPr>
            </w:pPr>
            <w:r w:rsidRPr="00995F5B">
              <w:rPr>
                <w:rFonts w:ascii="Arial" w:eastAsia="Times New Roman" w:hAnsi="Arial" w:cs="Arial"/>
                <w:sz w:val="24"/>
                <w:szCs w:val="24"/>
                <w:lang w:eastAsia="ru-RU"/>
              </w:rPr>
              <w:t>Глава Подгоренского сельского поселения</w:t>
            </w:r>
          </w:p>
        </w:tc>
        <w:tc>
          <w:tcPr>
            <w:tcW w:w="3023" w:type="dxa"/>
            <w:tcMar>
              <w:top w:w="0" w:type="dxa"/>
              <w:left w:w="108" w:type="dxa"/>
              <w:bottom w:w="0" w:type="dxa"/>
              <w:right w:w="108" w:type="dxa"/>
            </w:tcMar>
            <w:hideMark/>
          </w:tcPr>
          <w:p w:rsidR="00995F5B" w:rsidRPr="00995F5B" w:rsidRDefault="00995F5B" w:rsidP="00995F5B">
            <w:pPr>
              <w:spacing w:after="0" w:line="240" w:lineRule="auto"/>
              <w:ind w:firstLine="567"/>
              <w:jc w:val="both"/>
              <w:rPr>
                <w:rFonts w:ascii="Arial" w:eastAsia="Times New Roman" w:hAnsi="Arial" w:cs="Arial"/>
                <w:b/>
                <w:bCs/>
                <w:sz w:val="24"/>
                <w:szCs w:val="24"/>
                <w:lang w:eastAsia="ru-RU"/>
              </w:rPr>
            </w:pPr>
            <w:r w:rsidRPr="00995F5B">
              <w:rPr>
                <w:rFonts w:ascii="Arial" w:eastAsia="Times New Roman" w:hAnsi="Arial" w:cs="Arial"/>
                <w:sz w:val="24"/>
                <w:szCs w:val="24"/>
                <w:lang w:eastAsia="ru-RU"/>
              </w:rPr>
              <w:t> </w:t>
            </w:r>
          </w:p>
        </w:tc>
        <w:tc>
          <w:tcPr>
            <w:tcW w:w="3124" w:type="dxa"/>
            <w:tcMar>
              <w:top w:w="0" w:type="dxa"/>
              <w:left w:w="108" w:type="dxa"/>
              <w:bottom w:w="0" w:type="dxa"/>
              <w:right w:w="108" w:type="dxa"/>
            </w:tcMar>
            <w:hideMark/>
          </w:tcPr>
          <w:p w:rsidR="00995F5B" w:rsidRPr="00995F5B" w:rsidRDefault="00995F5B" w:rsidP="00995F5B">
            <w:pPr>
              <w:spacing w:after="0" w:line="240" w:lineRule="auto"/>
              <w:ind w:firstLine="567"/>
              <w:jc w:val="both"/>
              <w:rPr>
                <w:rFonts w:ascii="Arial" w:eastAsia="Times New Roman" w:hAnsi="Arial" w:cs="Arial"/>
                <w:b/>
                <w:bCs/>
                <w:sz w:val="24"/>
                <w:szCs w:val="24"/>
                <w:lang w:eastAsia="ru-RU"/>
              </w:rPr>
            </w:pPr>
            <w:r w:rsidRPr="00995F5B">
              <w:rPr>
                <w:rFonts w:ascii="Arial" w:eastAsia="Times New Roman" w:hAnsi="Arial" w:cs="Arial"/>
                <w:sz w:val="24"/>
                <w:szCs w:val="24"/>
                <w:lang w:eastAsia="ru-RU"/>
              </w:rPr>
              <w:t>А.С.Разборский</w:t>
            </w:r>
          </w:p>
        </w:tc>
      </w:tr>
    </w:tbl>
    <w:p w:rsidR="00995F5B" w:rsidRPr="00995F5B" w:rsidRDefault="00995F5B" w:rsidP="00995F5B">
      <w:pPr>
        <w:spacing w:after="0" w:line="240" w:lineRule="auto"/>
        <w:ind w:firstLine="709"/>
        <w:jc w:val="both"/>
        <w:rPr>
          <w:rFonts w:ascii="Arial" w:eastAsia="Times New Roman" w:hAnsi="Arial" w:cs="Arial"/>
          <w:b/>
          <w:bCs/>
          <w:color w:val="000000"/>
          <w:sz w:val="24"/>
          <w:szCs w:val="24"/>
          <w:lang w:eastAsia="ru-RU"/>
        </w:rPr>
      </w:pPr>
      <w:r w:rsidRPr="00995F5B">
        <w:rPr>
          <w:rFonts w:ascii="Arial" w:eastAsia="Times New Roman" w:hAnsi="Arial" w:cs="Arial"/>
          <w:color w:val="000000"/>
          <w:sz w:val="24"/>
          <w:szCs w:val="24"/>
          <w:lang w:eastAsia="ru-RU"/>
        </w:rPr>
        <w:t> </w:t>
      </w:r>
    </w:p>
    <w:p w:rsidR="00995F5B" w:rsidRPr="00995F5B" w:rsidRDefault="00995F5B" w:rsidP="00995F5B">
      <w:pPr>
        <w:spacing w:after="0" w:line="240" w:lineRule="auto"/>
        <w:ind w:left="4536"/>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br w:type="textWrapping" w:clear="all"/>
        <w:t xml:space="preserve">УТВЕРЖДЕНО решением Совета народных депутатов Подгоренского сельского поселения Калачеевского муниципального района Воронежской </w:t>
      </w:r>
      <w:r w:rsidRPr="00995F5B">
        <w:rPr>
          <w:rFonts w:ascii="Arial" w:eastAsia="Times New Roman" w:hAnsi="Arial" w:cs="Arial"/>
          <w:color w:val="000000"/>
          <w:sz w:val="24"/>
          <w:szCs w:val="24"/>
          <w:lang w:eastAsia="ru-RU"/>
        </w:rPr>
        <w:lastRenderedPageBreak/>
        <w:t>области от 26 ноября 2021г. №47 (ред. реш. от 28.03.2022 № 70, от 15.05.2023 № 116, от 21.08.2023 № 131, от 27.12.2023 № 158, от 29.02.2024 № 168, от 29.07.2024 № 186 внесены изм.)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Положение о муниципальном жилищном контроле на территории Подгоренского сельского поселения Калачеевского муниципального района Воронежской области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Общие положения.</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на территории Подгоренского сельского поселения Калачеевского муниципального района (далее – муниципальный контроль).</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2. Муниципальный контроль осуществляется в целях обеспечения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Муниципальный контроль осуществляется администрацией Подгоренского сельского поселения Калачеевского муниципального района Воронежской области (далее – контрольный (надзорный) орган).</w:t>
      </w:r>
    </w:p>
    <w:p w:rsidR="00995F5B" w:rsidRPr="00995F5B" w:rsidRDefault="00995F5B" w:rsidP="00995F5B">
      <w:pPr>
        <w:spacing w:after="0" w:line="240" w:lineRule="auto"/>
        <w:ind w:firstLine="709"/>
        <w:jc w:val="both"/>
        <w:rPr>
          <w:rFonts w:ascii="Arial" w:eastAsia="Times New Roman" w:hAnsi="Arial" w:cs="Arial"/>
          <w:b/>
          <w:bCs/>
          <w:color w:val="000000"/>
          <w:sz w:val="24"/>
          <w:szCs w:val="24"/>
          <w:lang w:eastAsia="ru-RU"/>
        </w:rPr>
      </w:pPr>
      <w:r w:rsidRPr="00995F5B">
        <w:rPr>
          <w:rFonts w:ascii="Arial" w:eastAsia="Times New Roman" w:hAnsi="Arial" w:cs="Arial"/>
          <w:color w:val="000000"/>
          <w:sz w:val="24"/>
          <w:szCs w:val="24"/>
          <w:lang w:eastAsia="ru-RU"/>
        </w:rPr>
        <w:t>Должностным лицом, уполномоченными на осуществление муниципального контроля, является специалист администрации Подгоренского сельского поселения Калачеевского муниципального района;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Подгоренского сельского поселения Калачеевского муниципального района.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К отношениям, связанным с осуществлением муниципального контроля применяются положения Жилищного кодекса Российской Федерации,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РФ, в отношении муниципального жилищного фонда:</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lastRenderedPageBreak/>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2) требований к формированию фондов капитального ремонта;</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10) требований к обеспечению доступности для инвалидов помещений в многоквартирных домах;</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11) требований к предоставлению жилых помещений в наемных домах социального использования;</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Объекты муниципального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6. Объектами муниципального контроля в соответствии со статьей 16 Закона № 248-ФЗ являются: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здания, помещения, которыми граждане и организации владеют и (или) пользуются, к которым предъявляются обязательные требования.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Управление рисками причинения вреда (ущерба) охраняемым законом ценностям при осуществлении муниципального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lastRenderedPageBreak/>
        <w:t>7. При осуществлении муниципального контроля не применяется система оценки и управления рисками.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Все внеплановые контрольные (надзорные) мероприятия могут проводиться только после согласования с органами прокуратуры.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8. Контрольный (надзорный) орган осуществляет муниципальный контроль посредством проведения: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а) профилактических мероприятий;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б) контрольных (надзорных) мероприятий, проводимых с взаимодействием с контролируемым лицом и без взаимодействия с контролируемым лицом.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Профилактика рисков причинения вреда (ущерба) охраняемым законом ценностям.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12. При осуществлении муниципального контроля могут проводиться следующие виды профилактических мероприятий: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а) информирование;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б) обобщение правоприменительной практики;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объявление предостережений;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г) консультирование;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д) меры стимулирования добросовестности;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е) самообследование.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Информирование.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lastRenderedPageBreak/>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Обобщение правоприменительной практики.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Контрольный (надзорный) орган обеспечивает публичное обсуждение проекта доклада о правоприменительной практике.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Объявление предостережения.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15.2. Возражение должно содержать:</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наименование контрольного (надзорного) органа, в который направляется возражение;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w:t>
      </w:r>
      <w:r w:rsidRPr="00995F5B">
        <w:rPr>
          <w:rFonts w:ascii="Arial" w:eastAsia="Times New Roman" w:hAnsi="Arial" w:cs="Arial"/>
          <w:color w:val="000000"/>
          <w:sz w:val="24"/>
          <w:szCs w:val="24"/>
          <w:lang w:eastAsia="ru-RU"/>
        </w:rPr>
        <w:lastRenderedPageBreak/>
        <w:t>и почтовый адрес, по которым должен быть направлен ответ контролируемому лицу;</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дату и номер предостережения;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доводы, на основании которых контролируемое лицо не согласно с объявленным предостережением;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5) дату получения предостережения контролируемым лицом;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6) личную подпись и дату.</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15.3. По результатам рассмотрения возражения должностное лицо, рассмотревшее возражение, принимает одно из следующих решений: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а) удовлетворяет возражение в форме отмены объявленного предостережения;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б) отказывает в удовлетворении возражения.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Контрольный (надзорный) орган осуществляет учет объявленных им предостережений о недопустимости нарушения обязательных требований.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Консультирование.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Консультирование осуществляется без взимания платы.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Должностным лицом, уполномоченным осуществлять муниципальный жилищный контроль, ведется журнал учета консультирований.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Консультирование, в том числе письменное, осуществляется по следующим вопросам: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порядок обжалования решений и действий (бездействия) должностных лиц.</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Меры стимулирования добросовестности.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lastRenderedPageBreak/>
        <w:t>17.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17.1.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реализация контролируемым лицом мероприятий по предотвращению вреда (ущерба) охраняемым законом ценностям;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наличие внедренных сертифицированных систем внутреннего контроля в соответствующей сфере деятельности;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предоставление контролируемым лицом доступа контрольному (надзорному) органу к своим информационным ресурсам;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добровольная сертификация, подтверждающая повышенный необходимый уровень безопасности охраняемых законом ценностей;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17.2. Критериями оценки добросовестности контролируемого лица являются следующие параметры: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своевременность представления контролируемым лицом в контрольный (надзорный) орган обязательной информации;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наличие декларации соблюдения обязательных требований.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17.3. Для поощрения и стимулирования добросовестных контролируемых лиц могут применяться следующие меры: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выдвижение представителей контролируемых лиц в общественные и иные органы при контрольном (надзорном) органе;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возможность проведения инспекционного визита, выездной проверки с использованием средств дистанционного взаимодействия;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xml:space="preserve">17.4.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w:t>
      </w:r>
      <w:r w:rsidRPr="00995F5B">
        <w:rPr>
          <w:rFonts w:ascii="Arial" w:eastAsia="Times New Roman" w:hAnsi="Arial" w:cs="Arial"/>
          <w:color w:val="000000"/>
          <w:sz w:val="24"/>
          <w:szCs w:val="24"/>
          <w:lang w:eastAsia="ru-RU"/>
        </w:rPr>
        <w:lastRenderedPageBreak/>
        <w:t>добросовестности контролируемых лиц, размещаются на официальном сайте контрольного (надзорного) органа в сети «Интернет».</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Самообследование.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18.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Декларация направляется контролируемым лицом в контрольный (надзорный) орган.</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18.1. Срок действия декларации составляет один год со дня регистрации контрольным (надзорным) органом декларации.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(надзорного) мероприятия.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18.2.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случае аннулирования декларации контролируемое лицо может вновь принять декларацию по истечении одного года с даты ее аннулирования.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Осуществление муниципального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19. Должностные лица контрольного (надзорного) органа осуществляют муниципальный контроль посредством проведения следующих мероприятий: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профилактических мероприятий;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контрольных (надзорных) мероприятий, проводимых с взаимодействием с контролируемым лицом;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контрольных (надзорных) мероприятий, проводимых без взаимодействия с контролируемым лицом.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Контрольные (надзорные) мероприятия, проводимые с взаимодействием с контролируемым лицом.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20. Контрольные (надзорные) мероприятия, проводимые с взаимодействием с контролируемым лицом.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20.1. Выборочный контроль.</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 проведении выборочного контроля контролируемые лица не уведомляются.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ходе выборочного контроля могут совершаться следующие контрольные (надзорные) действия: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осмотр;</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получение письменных объяснений;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истребование документов;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отбор проб (образцов);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5) инструментальное обследование;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6) испытание;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7) экспертиза.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lastRenderedPageBreak/>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Внеплановый выборочный контроль может осуществляться только по согласованию с органом прокуратуры.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Обязательное использование видеозаписи при отборе проб (образцов) продукции (товаров) осуществляется в случаях:</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невозможности однозначной идентификации нарушений обязательных требований при фотосъемке;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в случае отказа контролируемого лица или его уполномоченного представителя от отбора проб (образцов).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20.2. Инспекционный визит.</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ходе инспекционного визита могут совершаться следующие контрольные (надзорные) действия: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осмотр;</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опрос;</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получение письменных объяснений;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инструментальное обследование;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органом прокуратуры.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20.3. Рейдовый осмотр.</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lastRenderedPageBreak/>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Рейдовый осмотр может проводиться в форме совместного (межведомственного) контрольного (надзорного) мероприятия.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ходе рейдового осмотра могут совершаться следующие контрольные (надзорные) действия: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осмотр;</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досмотр;</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опрос;</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получение письменных объяснений;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5) истребование документов;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6) отбор проб (образцов);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7) инструментальное обследование;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8) испытание;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9) экспертиза;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10) эксперимент.</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При проведении рейдового осмотра инспекторы вправе взаимодействовать с находящимися на производственных объектах лицами.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Рейдовый осмотр может проводиться только по согласованию с органом прокуратуры.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20.4. Документарная проверка.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ходе документарной проверки могут совершаться следующие контрольные (надзорные) действия: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получение письменных объяснений;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истребование документов;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экспертиза.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w:t>
      </w:r>
      <w:r w:rsidRPr="00995F5B">
        <w:rPr>
          <w:rFonts w:ascii="Arial" w:eastAsia="Times New Roman" w:hAnsi="Arial" w:cs="Arial"/>
          <w:color w:val="000000"/>
          <w:sz w:val="24"/>
          <w:szCs w:val="24"/>
          <w:lang w:eastAsia="ru-RU"/>
        </w:rPr>
        <w:lastRenderedPageBreak/>
        <w:t>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Внеплановая документарная проверка проводится по согласованию с органом прокуратуры.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20.5. Выездная проверка.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w:t>
      </w:r>
      <w:r w:rsidRPr="00995F5B">
        <w:rPr>
          <w:rFonts w:ascii="Arial" w:eastAsia="Times New Roman" w:hAnsi="Arial" w:cs="Arial"/>
          <w:color w:val="000000"/>
          <w:sz w:val="24"/>
          <w:szCs w:val="24"/>
          <w:lang w:eastAsia="ru-RU"/>
        </w:rPr>
        <w:lastRenderedPageBreak/>
        <w:t>(осуществления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органом прокуратуры.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Срок проведения выездной проверки не может превышать десять рабочих дней.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ходе выездной проверки могут совершаться следующие контрольные (надзорные) действия: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осмотр;</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досмотр;</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опрос;</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получение письменных объяснений;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5) истребование документов;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6) отбор проб (образцов);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7) инструментальное обследование;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8) испытание;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9) экспертиза;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10) эксперимент.</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Контрольные (надзорные) мероприятия, осуществляемые без взаимодействия с контролируемым лицом.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21.1. Наблюдение за соблюдением обязательных требований.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w:t>
      </w:r>
      <w:r w:rsidRPr="00995F5B">
        <w:rPr>
          <w:rFonts w:ascii="Arial" w:eastAsia="Times New Roman" w:hAnsi="Arial" w:cs="Arial"/>
          <w:color w:val="000000"/>
          <w:sz w:val="24"/>
          <w:szCs w:val="24"/>
          <w:lang w:eastAsia="ru-RU"/>
        </w:rPr>
        <w:lastRenderedPageBreak/>
        <w:t>требований, контрольным (надзорный) органом могут быть приняты следующие решения: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решение об объявлении предостережения;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21.2. Выездное обследование.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осмотр;</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отбор проб (образцов);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инструментальное обследование (с применением видеозаписи);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испытание;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5) экспертиза.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Выездное обследование проводится без информирования контролируемого лица.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Порядок осуществления отдельных контрольных действий.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22. Порядок отбора проб (образцов).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23. Порядок осуществления досмотра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Информация о проведении досмотра включается в акт контрольного (надзорного) мероприятия.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24. Порядок проведения инструментального обследования.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w:t>
      </w:r>
      <w:r w:rsidRPr="00995F5B">
        <w:rPr>
          <w:rFonts w:ascii="Arial" w:eastAsia="Times New Roman" w:hAnsi="Arial" w:cs="Arial"/>
          <w:color w:val="000000"/>
          <w:sz w:val="24"/>
          <w:szCs w:val="24"/>
          <w:lang w:eastAsia="ru-RU"/>
        </w:rPr>
        <w:lastRenderedPageBreak/>
        <w:t>нормам, иные сведения, имеющие значение для оценки результатов инструментального обследования.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25. Порядок проведения испытания.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26. Порядок проведения экспертизы.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контрольного (надзорного) органа.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информировать контрольный (надзорный) орган о наличии конфликта интересов у эксперта, экспертной организации;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знакомиться с заключением эксперта или экспертной организации.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Результаты экспертизы оформляются экспертным заключением.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Порядок проведения фотосъемки, аудио- и видеозаписи, а также иных способов фиксации доказательств.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27.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lastRenderedPageBreak/>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случае отсутствия контролируемого лица или его представителя при проведении контрольного мероприятия.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Проведение фотосъемки, аудио- и видеозаписи осуществляется с обязательным уведомлением контролируемого лица.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Организация проведения контрольных мероприятий.</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28. Контрольные мероприятия, указанные в подпунктах 20.4 – 20.7 пункта 20 настоящего Положения, проводятся в форме внеплановых мероприятий.</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Основанием для проведения контрольных мероприятий, проводимых с взаимодействием с контролируемыми лицами, является:</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w:t>
      </w:r>
      <w:r w:rsidRPr="00995F5B">
        <w:rPr>
          <w:rFonts w:ascii="Arial" w:eastAsia="Times New Roman" w:hAnsi="Arial" w:cs="Arial"/>
          <w:color w:val="000000"/>
          <w:sz w:val="24"/>
          <w:szCs w:val="24"/>
          <w:lang w:eastAsia="ru-RU"/>
        </w:rPr>
        <w:lastRenderedPageBreak/>
        <w:t>«О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29.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30.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w:t>
      </w:r>
      <w:r w:rsidRPr="00995F5B">
        <w:rPr>
          <w:rFonts w:ascii="Arial" w:eastAsia="Times New Roman" w:hAnsi="Arial" w:cs="Arial"/>
          <w:color w:val="000000"/>
          <w:sz w:val="24"/>
          <w:szCs w:val="24"/>
          <w:lang w:eastAsia="ru-RU"/>
        </w:rPr>
        <w:lastRenderedPageBreak/>
        <w:t>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2) временной нетрудоспособности на момент контрольного (надзорного) мероприятия;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4) призвания на военную службу в соответствии с Федеральным законом от 28.03.1998 № 53-ФЗ «О воинской обязанности и военной службе».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Оформление результатов контрольного (надзорного) мероприятия.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31.1.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31.2.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31.3. Информация о контрольных (надзорных) мероприятиях размещается в Едином реестре контрольных (надзорных) мероприятий.</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 xml:space="preserve">31.4. Информирование контролируемых лиц о совершаемых должностными лицами контрольного (надзорного) органа действиях и принимаемых решениях </w:t>
      </w:r>
      <w:r w:rsidRPr="00995F5B">
        <w:rPr>
          <w:rFonts w:ascii="Arial" w:eastAsia="Times New Roman" w:hAnsi="Arial" w:cs="Arial"/>
          <w:color w:val="000000"/>
          <w:sz w:val="24"/>
          <w:szCs w:val="24"/>
          <w:lang w:eastAsia="ru-RU"/>
        </w:rPr>
        <w:lastRenderedPageBreak/>
        <w:t>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31.5.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(ред. реш. от 29.02.2024 № 168, от 29.07.2024 № 186 в пункт 31.6. внесены изм.)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31.6. </w:t>
      </w:r>
      <w:r w:rsidRPr="00995F5B">
        <w:rPr>
          <w:rFonts w:ascii="Arial" w:eastAsia="Times New Roman" w:hAnsi="Arial" w:cs="Arial"/>
          <w:color w:val="000000"/>
          <w:sz w:val="24"/>
          <w:szCs w:val="24"/>
          <w:shd w:val="clear" w:color="auto" w:fill="FFFFFF"/>
          <w:lang w:eastAsia="ru-RU"/>
        </w:rPr>
        <w:t>До 31 декабря 2025</w:t>
      </w:r>
      <w:r w:rsidRPr="00995F5B">
        <w:rPr>
          <w:rFonts w:ascii="Arial" w:eastAsia="Times New Roman" w:hAnsi="Arial" w:cs="Arial"/>
          <w:color w:val="000000"/>
          <w:sz w:val="24"/>
          <w:szCs w:val="24"/>
          <w:lang w:eastAsia="ru-RU"/>
        </w:rPr>
        <w:t>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31.7.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31.8.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lastRenderedPageBreak/>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Форма предписания об устранении выявленных нарушений обязательных требований утверждается контрольным (надзорным) органом.</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Обжалование решений администрации, действий (бездействия) должностных лиц, уполномоченных осуществлять муниципальный жилищный контроль.</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31.9.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31.10.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shd w:val="clear" w:color="auto" w:fill="FFFFFF"/>
          <w:lang w:eastAsia="ru-RU"/>
        </w:rPr>
        <w:lastRenderedPageBreak/>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shd w:val="clear" w:color="auto" w:fill="FFFFFF"/>
          <w:lang w:eastAsia="ru-RU"/>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Pr="00995F5B">
        <w:rPr>
          <w:rFonts w:ascii="Arial" w:eastAsia="Times New Roman" w:hAnsi="Arial" w:cs="Arial"/>
          <w:color w:val="000000"/>
          <w:sz w:val="24"/>
          <w:szCs w:val="24"/>
          <w:lang w:eastAsia="ru-RU"/>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sidRPr="00995F5B">
        <w:rPr>
          <w:rFonts w:ascii="Arial" w:eastAsia="Times New Roman" w:hAnsi="Arial" w:cs="Arial"/>
          <w:color w:val="000000"/>
          <w:sz w:val="24"/>
          <w:szCs w:val="24"/>
          <w:shd w:val="clear" w:color="auto" w:fill="FFFFFF"/>
          <w:lang w:eastAsia="ru-RU"/>
        </w:rPr>
        <w:t>.</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32.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33.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995F5B" w:rsidRPr="00995F5B" w:rsidRDefault="00995F5B" w:rsidP="00995F5B">
      <w:pPr>
        <w:spacing w:after="0" w:line="240" w:lineRule="auto"/>
        <w:ind w:firstLine="709"/>
        <w:jc w:val="both"/>
        <w:rPr>
          <w:rFonts w:ascii="Times New Roman" w:eastAsia="Times New Roman" w:hAnsi="Times New Roman" w:cs="Times New Roman"/>
          <w:color w:val="000000"/>
          <w:sz w:val="24"/>
          <w:szCs w:val="24"/>
          <w:lang w:eastAsia="ru-RU"/>
        </w:rPr>
      </w:pPr>
      <w:r w:rsidRPr="00995F5B">
        <w:rPr>
          <w:rFonts w:ascii="Arial" w:eastAsia="Times New Roman" w:hAnsi="Arial" w:cs="Arial"/>
          <w:color w:val="000000"/>
          <w:sz w:val="24"/>
          <w:szCs w:val="24"/>
          <w:lang w:eastAsia="ru-RU"/>
        </w:rPr>
        <w:t>Ключевые показатели муниципального контроля и их целевые значения.</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34.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995F5B" w:rsidRPr="00995F5B" w:rsidRDefault="00995F5B" w:rsidP="00995F5B">
      <w:pPr>
        <w:spacing w:after="0" w:line="240" w:lineRule="auto"/>
        <w:ind w:firstLine="709"/>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35. Ключевые показатели вида контроля и их целевые значения, индикативные показатели для муниципального жилищного контроля утверждаются Советом народных депутатов Подгоренского сельского поселения.</w:t>
      </w:r>
    </w:p>
    <w:p w:rsidR="00995F5B" w:rsidRPr="00995F5B" w:rsidRDefault="00995F5B" w:rsidP="00995F5B">
      <w:pPr>
        <w:spacing w:after="0" w:line="240" w:lineRule="auto"/>
        <w:ind w:firstLine="567"/>
        <w:jc w:val="both"/>
        <w:rPr>
          <w:rFonts w:ascii="Arial" w:eastAsia="Times New Roman" w:hAnsi="Arial" w:cs="Arial"/>
          <w:color w:val="000000"/>
          <w:sz w:val="24"/>
          <w:szCs w:val="24"/>
          <w:lang w:eastAsia="ru-RU"/>
        </w:rPr>
      </w:pPr>
      <w:r w:rsidRPr="00995F5B">
        <w:rPr>
          <w:rFonts w:ascii="Arial" w:eastAsia="Times New Roman" w:hAnsi="Arial" w:cs="Arial"/>
          <w:color w:val="000000"/>
          <w:sz w:val="24"/>
          <w:szCs w:val="24"/>
          <w:lang w:eastAsia="ru-RU"/>
        </w:rPr>
        <w:t> </w:t>
      </w:r>
    </w:p>
    <w:p w:rsidR="00B27A3B" w:rsidRDefault="00B27A3B">
      <w:bookmarkStart w:id="0" w:name="_GoBack"/>
      <w:bookmarkEnd w:id="0"/>
    </w:p>
    <w:sectPr w:rsidR="00B27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5B"/>
    <w:rsid w:val="00995F5B"/>
    <w:rsid w:val="00B2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995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95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95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995F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995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95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95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995F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8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9098</Words>
  <Characters>51862</Characters>
  <Application>Microsoft Office Word</Application>
  <DocSecurity>0</DocSecurity>
  <Lines>432</Lines>
  <Paragraphs>121</Paragraphs>
  <ScaleCrop>false</ScaleCrop>
  <Company/>
  <LinksUpToDate>false</LinksUpToDate>
  <CharactersWithSpaces>60839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2024-08-29T12:54:00Z</dcterms:created>
  <dcterms:modified xsi:type="dcterms:W3CDTF">2024-08-29T12:54:00Z</dcterms:modified>
</cp:coreProperties>
</file>