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EE" w:rsidRDefault="003F41EE" w:rsidP="003F41EE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3F41EE" w:rsidRDefault="003F41EE" w:rsidP="003F41EE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3F41EE" w:rsidRDefault="003F41EE" w:rsidP="003F41EE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3F41EE" w:rsidRDefault="003F41EE" w:rsidP="003F41EE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3F41EE" w:rsidRDefault="003F41EE" w:rsidP="003F41EE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3F41EE" w:rsidRDefault="003F41EE" w:rsidP="003F41EE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3F41EE" w:rsidRDefault="003F41EE" w:rsidP="003F41EE">
      <w:pPr>
        <w:jc w:val="right"/>
        <w:rPr>
          <w:rFonts w:cs="Arial"/>
        </w:rPr>
      </w:pPr>
    </w:p>
    <w:p w:rsidR="003F41EE" w:rsidRDefault="003F41EE" w:rsidP="003F41EE">
      <w:pPr>
        <w:tabs>
          <w:tab w:val="left" w:pos="6825"/>
        </w:tabs>
        <w:rPr>
          <w:rFonts w:cs="Arial"/>
        </w:rPr>
      </w:pPr>
      <w:r>
        <w:rPr>
          <w:rFonts w:cs="Arial"/>
        </w:rPr>
        <w:t>от 0</w:t>
      </w:r>
      <w:r w:rsidR="0022019D">
        <w:rPr>
          <w:rFonts w:cs="Arial"/>
        </w:rPr>
        <w:t>1</w:t>
      </w:r>
      <w:r>
        <w:rPr>
          <w:rFonts w:cs="Arial"/>
        </w:rPr>
        <w:t xml:space="preserve"> июля 2022 г.</w:t>
      </w:r>
      <w:r>
        <w:rPr>
          <w:rFonts w:cs="Arial"/>
        </w:rPr>
        <w:tab/>
        <w:t>№82</w:t>
      </w:r>
    </w:p>
    <w:p w:rsidR="003F41EE" w:rsidRDefault="003F41EE" w:rsidP="003F41EE">
      <w:pPr>
        <w:rPr>
          <w:rFonts w:cs="Arial"/>
        </w:rPr>
      </w:pPr>
      <w:r>
        <w:rPr>
          <w:rFonts w:cs="Arial"/>
        </w:rPr>
        <w:t>с. Подгорное</w:t>
      </w:r>
    </w:p>
    <w:p w:rsidR="003F41EE" w:rsidRDefault="003F41EE" w:rsidP="003F41EE">
      <w:pPr>
        <w:pStyle w:val="ConsPlusTitle"/>
        <w:rPr>
          <w:rFonts w:ascii="Arial" w:hAnsi="Arial" w:cs="Arial"/>
          <w:sz w:val="24"/>
          <w:szCs w:val="24"/>
        </w:rPr>
      </w:pPr>
    </w:p>
    <w:p w:rsidR="003F41EE" w:rsidRDefault="003F41EE" w:rsidP="003F41EE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3F41EE" w:rsidRDefault="003F41EE" w:rsidP="003F41EE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3F41EE" w:rsidRDefault="003F41EE" w:rsidP="003F41EE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решил:</w:t>
      </w:r>
      <w:proofErr w:type="gramEnd"/>
    </w:p>
    <w:p w:rsidR="003F41EE" w:rsidRDefault="003F41EE" w:rsidP="003F41EE">
      <w:pPr>
        <w:pStyle w:val="ConsPlusTitle"/>
        <w:ind w:right="-2"/>
        <w:rPr>
          <w:rFonts w:ascii="Arial" w:hAnsi="Arial" w:cs="Arial"/>
          <w:sz w:val="24"/>
          <w:szCs w:val="24"/>
        </w:rPr>
      </w:pPr>
    </w:p>
    <w:p w:rsidR="003F41EE" w:rsidRDefault="003F41EE" w:rsidP="003F41EE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Принять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 согласно приложению.</w:t>
      </w:r>
    </w:p>
    <w:p w:rsidR="003F41EE" w:rsidRDefault="003F41EE" w:rsidP="003F41EE">
      <w:pPr>
        <w:pStyle w:val="a3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3F41EE" w:rsidRDefault="003F41EE" w:rsidP="003F41EE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3F41EE" w:rsidRDefault="003F41EE" w:rsidP="003F41EE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3F41EE" w:rsidRDefault="003F41EE" w:rsidP="003F41EE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3F41EE" w:rsidRDefault="003F41EE" w:rsidP="003F41EE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3F41EE" w:rsidRDefault="003F41EE" w:rsidP="003F41EE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3F41EE" w:rsidRDefault="003F41EE" w:rsidP="003F41EE">
      <w:pPr>
        <w:rPr>
          <w:rFonts w:cs="Arial"/>
        </w:rPr>
      </w:pPr>
    </w:p>
    <w:p w:rsidR="003F41EE" w:rsidRDefault="003F41EE" w:rsidP="003F41EE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3F41EE" w:rsidRDefault="003F41EE" w:rsidP="003F41EE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2C20A3" w:rsidRDefault="003F41EE" w:rsidP="003F41EE">
      <w:pPr>
        <w:pStyle w:val="f12"/>
        <w:pageBreakBefore/>
        <w:ind w:left="4111" w:right="-18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 к решению Совета народных депутатов Подгоренского сельского поселения от 0</w:t>
      </w:r>
      <w:r w:rsidR="002C20A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июля 2022 г. № 82</w:t>
      </w:r>
    </w:p>
    <w:p w:rsidR="002C20A3" w:rsidRDefault="002C20A3" w:rsidP="002C20A3">
      <w:pPr>
        <w:jc w:val="right"/>
        <w:rPr>
          <w:lang w:eastAsia="ar-SA"/>
        </w:rPr>
      </w:pPr>
    </w:p>
    <w:p w:rsidR="002C20A3" w:rsidRDefault="002C20A3" w:rsidP="002C20A3">
      <w:pPr>
        <w:jc w:val="right"/>
        <w:rPr>
          <w:lang w:eastAsia="ar-SA"/>
        </w:rPr>
      </w:pPr>
      <w:r>
        <w:rPr>
          <w:lang w:eastAsia="ar-SA"/>
        </w:rPr>
        <w:t>ПРОЕКТ</w:t>
      </w:r>
    </w:p>
    <w:p w:rsidR="002C20A3" w:rsidRDefault="002C20A3" w:rsidP="002C20A3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2C20A3" w:rsidRDefault="002C20A3" w:rsidP="002C20A3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ПОДГОРЕНСКОГО СЕЛЬСКОГО ПОСЕЛЕНИЯ</w:t>
      </w: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</w:t>
      </w:r>
      <w:proofErr w:type="gramEnd"/>
      <w:r>
        <w:rPr>
          <w:rFonts w:cs="Arial"/>
          <w:sz w:val="24"/>
          <w:szCs w:val="24"/>
        </w:rPr>
        <w:t xml:space="preserve"> Е Ш Е Н И Е</w:t>
      </w:r>
    </w:p>
    <w:p w:rsidR="002C20A3" w:rsidRDefault="002C20A3" w:rsidP="002C20A3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2C20A3" w:rsidRDefault="002C20A3" w:rsidP="002C20A3">
      <w:pPr>
        <w:tabs>
          <w:tab w:val="left" w:pos="6825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>
        <w:rPr>
          <w:rFonts w:cs="Arial"/>
        </w:rPr>
        <w:t xml:space="preserve">                               2022 г. № </w:t>
      </w:r>
    </w:p>
    <w:p w:rsidR="002C20A3" w:rsidRDefault="002C20A3" w:rsidP="002C20A3">
      <w:pPr>
        <w:ind w:firstLine="0"/>
        <w:rPr>
          <w:rFonts w:cs="Arial"/>
        </w:rPr>
      </w:pPr>
      <w:r>
        <w:rPr>
          <w:rFonts w:cs="Arial"/>
        </w:rPr>
        <w:t>с. Подгорное</w:t>
      </w:r>
    </w:p>
    <w:p w:rsidR="002C20A3" w:rsidRDefault="002C20A3" w:rsidP="002C20A3">
      <w:pPr>
        <w:pStyle w:val="ConsPlusTitle"/>
        <w:rPr>
          <w:rFonts w:ascii="Arial" w:hAnsi="Arial" w:cs="Arial"/>
          <w:sz w:val="24"/>
          <w:szCs w:val="24"/>
        </w:rPr>
      </w:pPr>
    </w:p>
    <w:p w:rsidR="002C20A3" w:rsidRDefault="002C20A3" w:rsidP="002C20A3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Устав Подгоренского сельского поселения Калачеевского муниципального района Воронежской области</w:t>
      </w:r>
    </w:p>
    <w:p w:rsidR="002C20A3" w:rsidRDefault="002C20A3" w:rsidP="002C20A3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2C20A3" w:rsidRDefault="002C20A3" w:rsidP="002C20A3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РЕШИЛ:</w:t>
      </w:r>
      <w:proofErr w:type="gramEnd"/>
    </w:p>
    <w:p w:rsidR="002C20A3" w:rsidRDefault="002C20A3" w:rsidP="002C20A3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Внести в Устав Подгоренского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2C20A3" w:rsidRDefault="002C20A3" w:rsidP="002C20A3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C20A3" w:rsidRDefault="002C20A3" w:rsidP="002C20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2C20A3" w:rsidRDefault="002C20A3" w:rsidP="002C20A3">
      <w:pPr>
        <w:pStyle w:val="a5"/>
        <w:ind w:left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2C20A3" w:rsidRDefault="002C20A3" w:rsidP="002C20A3">
      <w:pPr>
        <w:pStyle w:val="a5"/>
        <w:ind w:left="709"/>
        <w:rPr>
          <w:rFonts w:cs="Arial"/>
          <w:sz w:val="24"/>
        </w:rPr>
      </w:pPr>
    </w:p>
    <w:p w:rsidR="002C20A3" w:rsidRDefault="002C20A3" w:rsidP="002C20A3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2C20A3" w:rsidRDefault="002C20A3" w:rsidP="002C20A3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2C20A3" w:rsidRDefault="002C20A3" w:rsidP="002C20A3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2C20A3" w:rsidRDefault="002C20A3" w:rsidP="002C20A3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2C20A3" w:rsidRDefault="002C20A3" w:rsidP="002C20A3">
      <w:pPr>
        <w:spacing w:line="276" w:lineRule="auto"/>
        <w:ind w:left="5672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2C20A3" w:rsidRDefault="002C20A3" w:rsidP="002C20A3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Приложение </w:t>
      </w:r>
    </w:p>
    <w:p w:rsidR="002C20A3" w:rsidRDefault="002C20A3" w:rsidP="002C20A3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>к решению Совета народных депутатов Подгоренского сельского поселения Калачеевского муниципального района Воронежской области</w:t>
      </w:r>
    </w:p>
    <w:p w:rsidR="002C20A3" w:rsidRDefault="002C20A3" w:rsidP="002C20A3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от </w:t>
      </w:r>
      <w:r>
        <w:rPr>
          <w:rFonts w:cs="Arial"/>
          <w:lang w:eastAsia="en-US"/>
        </w:rPr>
        <w:t xml:space="preserve">                           </w:t>
      </w:r>
      <w:r>
        <w:rPr>
          <w:rFonts w:cs="Arial"/>
          <w:lang w:eastAsia="en-US"/>
        </w:rPr>
        <w:t xml:space="preserve">2022 г. № </w:t>
      </w:r>
      <w:bookmarkStart w:id="0" w:name="_GoBack"/>
      <w:bookmarkEnd w:id="0"/>
    </w:p>
    <w:p w:rsidR="002C20A3" w:rsidRDefault="002C20A3" w:rsidP="002C20A3">
      <w:pPr>
        <w:spacing w:line="276" w:lineRule="auto"/>
        <w:ind w:left="5672"/>
        <w:rPr>
          <w:rFonts w:cs="Arial"/>
          <w:lang w:eastAsia="en-US"/>
        </w:rPr>
      </w:pPr>
    </w:p>
    <w:p w:rsidR="002C20A3" w:rsidRDefault="002C20A3" w:rsidP="002C20A3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ПОДГОРЕНСКОГО СЕЛЬСКОГО ПОСЕЛЕНИЯ КАЛАЧЕЕВСКОГО МУНИЦИПАЛЬНОГО РАЙОНА </w:t>
      </w:r>
    </w:p>
    <w:p w:rsidR="002C20A3" w:rsidRDefault="002C20A3" w:rsidP="002C20A3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2C20A3" w:rsidRDefault="002C20A3" w:rsidP="002C20A3">
      <w:pPr>
        <w:ind w:left="4253" w:right="566"/>
        <w:rPr>
          <w:rFonts w:ascii="Times New Roman" w:hAnsi="Times New Roman"/>
        </w:rPr>
      </w:pPr>
    </w:p>
    <w:p w:rsidR="002C20A3" w:rsidRDefault="002C20A3" w:rsidP="002C20A3">
      <w:pPr>
        <w:ind w:left="709" w:right="-2" w:firstLine="0"/>
        <w:rPr>
          <w:rFonts w:cs="Arial"/>
        </w:rPr>
      </w:pPr>
      <w:r>
        <w:rPr>
          <w:rFonts w:cs="Arial"/>
        </w:rPr>
        <w:t>1. Часть 2 статьи 14 «Муниципальные выборы» изложить в новой редакции:</w:t>
      </w:r>
    </w:p>
    <w:p w:rsidR="002C20A3" w:rsidRDefault="002C20A3" w:rsidP="002C20A3">
      <w:pPr>
        <w:ind w:right="-2" w:firstLine="709"/>
        <w:rPr>
          <w:rFonts w:cs="Arial"/>
        </w:rPr>
      </w:pPr>
      <w:r>
        <w:rPr>
          <w:rFonts w:cs="Arial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>
        <w:rPr>
          <w:rFonts w:cs="Arial"/>
        </w:rPr>
        <w:t>позднее</w:t>
      </w:r>
      <w:proofErr w:type="gramEnd"/>
      <w:r>
        <w:rPr>
          <w:rFonts w:cs="Arial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</w:t>
      </w:r>
      <w:proofErr w:type="gramStart"/>
      <w:r>
        <w:rPr>
          <w:rFonts w:cs="Arial"/>
        </w:rPr>
        <w:t>.».</w:t>
      </w:r>
      <w:proofErr w:type="gramEnd"/>
    </w:p>
    <w:p w:rsidR="002C20A3" w:rsidRDefault="002C20A3" w:rsidP="002C20A3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>2. Статью 40 «Избирательная комиссия Подгоренского сельского поселения» изложить в новой редакции:</w:t>
      </w:r>
    </w:p>
    <w:p w:rsidR="002C20A3" w:rsidRDefault="002C20A3" w:rsidP="002C20A3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 xml:space="preserve">«Статья 40. Полномочия избирательных комиссий по организации и </w:t>
      </w:r>
      <w:proofErr w:type="gramStart"/>
      <w:r>
        <w:rPr>
          <w:rFonts w:cs="Arial"/>
        </w:rPr>
        <w:t>проведении</w:t>
      </w:r>
      <w:proofErr w:type="gramEnd"/>
      <w:r>
        <w:rPr>
          <w:rFonts w:cs="Arial"/>
        </w:rPr>
        <w:t xml:space="preserve"> выборов, местного референдума, голосования по отзыву</w:t>
      </w:r>
    </w:p>
    <w:p w:rsidR="002C20A3" w:rsidRDefault="002C20A3" w:rsidP="002C20A3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Подгоренском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C20A3" w:rsidRDefault="002C20A3" w:rsidP="002C20A3">
      <w:pPr>
        <w:widowControl w:val="0"/>
        <w:snapToGrid w:val="0"/>
        <w:ind w:firstLine="709"/>
        <w:rPr>
          <w:rFonts w:cs="Arial"/>
        </w:rPr>
      </w:pPr>
      <w:r>
        <w:rPr>
          <w:rFonts w:cs="Arial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C20A3" w:rsidRDefault="002C20A3" w:rsidP="002C20A3">
      <w:pPr>
        <w:widowControl w:val="0"/>
        <w:snapToGrid w:val="0"/>
        <w:ind w:firstLine="709"/>
      </w:pPr>
      <w:r>
        <w:rPr>
          <w:rFonts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cs="Arial"/>
        </w:rPr>
        <w:t>.».</w:t>
      </w:r>
      <w:proofErr w:type="gramEnd"/>
    </w:p>
    <w:p w:rsidR="003F41EE" w:rsidRPr="002C20A3" w:rsidRDefault="003F41EE" w:rsidP="002C20A3">
      <w:pPr>
        <w:rPr>
          <w:lang w:eastAsia="ar-SA"/>
        </w:rPr>
      </w:pPr>
    </w:p>
    <w:sectPr w:rsidR="003F41EE" w:rsidRPr="002C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E"/>
    <w:rsid w:val="0022019D"/>
    <w:rsid w:val="002C20A3"/>
    <w:rsid w:val="003F41EE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41EE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41EE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3F41EE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3F41EE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rsid w:val="003F41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3F41EE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2C20A3"/>
    <w:rPr>
      <w:rFonts w:ascii="Calibri" w:eastAsia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2C20A3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41EE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41EE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3F41EE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3F41EE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uiPriority w:val="99"/>
    <w:rsid w:val="003F41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3F41EE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2C20A3"/>
    <w:rPr>
      <w:rFonts w:ascii="Calibri" w:eastAsia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2C20A3"/>
    <w:pPr>
      <w:widowControl w:val="0"/>
      <w:suppressAutoHyphens/>
      <w:ind w:left="720" w:firstLine="0"/>
      <w:jc w:val="left"/>
    </w:pPr>
    <w:rPr>
      <w:rFonts w:eastAsia="Lucida Sans Unicode"/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2022-08-02T11:31:00Z</cp:lastPrinted>
  <dcterms:created xsi:type="dcterms:W3CDTF">2022-07-04T08:17:00Z</dcterms:created>
  <dcterms:modified xsi:type="dcterms:W3CDTF">2022-08-02T11:33:00Z</dcterms:modified>
</cp:coreProperties>
</file>