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3A" w:rsidRPr="00D153DD" w:rsidRDefault="00A4683A" w:rsidP="00F05FA9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A4683A" w:rsidRPr="00D153DD" w:rsidRDefault="00D12F54" w:rsidP="00F05FA9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>АДМИНИСТРАЦИЯ ПОДГОРЕНСКОГО</w:t>
      </w:r>
      <w:r w:rsidR="00A4683A" w:rsidRPr="00D153DD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:rsidR="00A4683A" w:rsidRPr="00D153DD" w:rsidRDefault="00A4683A" w:rsidP="00F05F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КАЛАЧЕЕВСКОГО МУНИЦИПАЛЬНОГО РАЙОНА </w:t>
      </w:r>
    </w:p>
    <w:p w:rsidR="00A4683A" w:rsidRPr="00D153DD" w:rsidRDefault="00A4683A" w:rsidP="00F05F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A4683A" w:rsidRPr="00D153DD" w:rsidRDefault="00A4683A" w:rsidP="00F05FA9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  <w:t xml:space="preserve">ПОСТАНОВЛЕНИЕ </w:t>
      </w:r>
    </w:p>
    <w:p w:rsidR="00A4683A" w:rsidRPr="00D153DD" w:rsidRDefault="004D1D02" w:rsidP="00F05FA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65CDA" w:rsidRPr="00D153DD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2025 г. № </w:t>
      </w:r>
      <w:r w:rsidR="00532E93" w:rsidRPr="00D153DD">
        <w:rPr>
          <w:rFonts w:ascii="Arial" w:eastAsia="Times New Roman" w:hAnsi="Arial" w:cs="Arial"/>
          <w:sz w:val="24"/>
          <w:szCs w:val="24"/>
          <w:lang w:eastAsia="ru-RU"/>
        </w:rPr>
        <w:t>29</w:t>
      </w:r>
    </w:p>
    <w:p w:rsidR="00A4683A" w:rsidRPr="00D153DD" w:rsidRDefault="00D12F54" w:rsidP="00F05FA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4D1D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153DD">
        <w:rPr>
          <w:rFonts w:ascii="Arial" w:eastAsia="Times New Roman" w:hAnsi="Arial" w:cs="Arial"/>
          <w:sz w:val="24"/>
          <w:szCs w:val="24"/>
          <w:lang w:eastAsia="ru-RU"/>
        </w:rPr>
        <w:t>Подгорное</w:t>
      </w:r>
    </w:p>
    <w:p w:rsidR="00A4683A" w:rsidRPr="00D153DD" w:rsidRDefault="00A4683A" w:rsidP="00F05FA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0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61"/>
        <w:gridCol w:w="3600"/>
      </w:tblGrid>
      <w:tr w:rsidR="00A4683A" w:rsidRPr="00D153DD" w:rsidTr="00D153DD">
        <w:trPr>
          <w:trHeight w:val="345"/>
        </w:trPr>
        <w:tc>
          <w:tcPr>
            <w:tcW w:w="9461" w:type="dxa"/>
          </w:tcPr>
          <w:p w:rsidR="00A4683A" w:rsidRPr="00D153DD" w:rsidRDefault="00A4683A" w:rsidP="00D153DD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</w:t>
            </w:r>
            <w:r w:rsidR="00D12F54" w:rsidRPr="00D153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ление администрации Подгоренского</w:t>
            </w:r>
            <w:r w:rsidRPr="00D153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от </w:t>
            </w:r>
            <w:r w:rsidR="00D12F54" w:rsidRPr="00D153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28.06.</w:t>
            </w:r>
            <w:r w:rsidRPr="00D153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№</w:t>
            </w:r>
            <w:r w:rsidR="00D12F54" w:rsidRPr="00D153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4D1D0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D02"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программы в области энергосбережения и повышения энергетической эффективности на 2024-2026 годы администрации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3600" w:type="dxa"/>
          </w:tcPr>
          <w:p w:rsidR="00A4683A" w:rsidRPr="00D153DD" w:rsidRDefault="00A4683A" w:rsidP="00F05F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683A" w:rsidRPr="00D153DD" w:rsidRDefault="00A4683A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муниципальных правовых актов 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рассмотрев протест прокуратуры Калачеевского района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от 15.04.2025 №2-1-2025/Прдп192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-25-20200022,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Подгоренского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</w:t>
      </w:r>
      <w:r w:rsidR="00BE6107" w:rsidRPr="00D153DD">
        <w:rPr>
          <w:rFonts w:ascii="Arial" w:eastAsia="Times New Roman" w:hAnsi="Arial" w:cs="Arial"/>
          <w:sz w:val="24"/>
          <w:szCs w:val="24"/>
          <w:lang w:eastAsia="ru-RU"/>
        </w:rPr>
        <w:t>оронежской области постановляет:</w:t>
      </w:r>
    </w:p>
    <w:p w:rsidR="00A4683A" w:rsidRPr="00D153DD" w:rsidRDefault="00FB0F9E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15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>Внести в постанов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Подгоренского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28.06.2023 №69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программы в области энергосбережения и повышения энергетической эффективности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на 2024-2026 годы администрации Подгоренского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D12F54" w:rsidRPr="00D153DD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3C48E1" w:rsidRPr="00D153DD" w:rsidRDefault="00532E93" w:rsidP="004D1D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9C4282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В подпункте 2.1.1. пункта 2.1. Р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а 2</w:t>
      </w:r>
      <w:r w:rsidR="00A4683A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абзац «Мероприятия по сбережению электрической энергии» изложить в новой редакции:</w:t>
      </w:r>
    </w:p>
    <w:p w:rsidR="00D153DD" w:rsidRPr="00D153DD" w:rsidRDefault="00D153DD" w:rsidP="004D1D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«Мероприятия по сбережению электрической энергии</w:t>
      </w:r>
    </w:p>
    <w:p w:rsidR="00532E93" w:rsidRPr="00D153DD" w:rsidRDefault="00532E93" w:rsidP="004D1D0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- </w:t>
      </w:r>
      <w:r w:rsidR="00D153DD">
        <w:rPr>
          <w:rFonts w:ascii="Arial" w:eastAsia="Calibri" w:hAnsi="Arial" w:cs="Arial"/>
          <w:sz w:val="24"/>
          <w:szCs w:val="24"/>
        </w:rPr>
        <w:t>и</w:t>
      </w:r>
      <w:r w:rsidRPr="00D153DD">
        <w:rPr>
          <w:rFonts w:ascii="Arial" w:eastAsia="Calibri" w:hAnsi="Arial" w:cs="Arial"/>
          <w:sz w:val="24"/>
          <w:szCs w:val="24"/>
        </w:rPr>
        <w:t>нструктаж персонала по методам энергосбережения и повышения энергетической эффективности;</w:t>
      </w:r>
    </w:p>
    <w:p w:rsidR="00532E93" w:rsidRPr="00D153DD" w:rsidRDefault="00532E93" w:rsidP="004D1D0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-  </w:t>
      </w:r>
      <w:r w:rsidR="00D153DD">
        <w:rPr>
          <w:rFonts w:ascii="Arial" w:eastAsia="Calibri" w:hAnsi="Arial" w:cs="Arial"/>
          <w:sz w:val="24"/>
          <w:szCs w:val="24"/>
        </w:rPr>
        <w:t>у</w:t>
      </w:r>
      <w:r w:rsidRPr="00D153DD">
        <w:rPr>
          <w:rFonts w:ascii="Arial" w:eastAsia="Calibri" w:hAnsi="Arial" w:cs="Arial"/>
          <w:sz w:val="24"/>
          <w:szCs w:val="24"/>
        </w:rPr>
        <w:t>становка средств наглядной агитации по энергосбережению;</w:t>
      </w:r>
    </w:p>
    <w:p w:rsidR="00532E93" w:rsidRPr="00D153DD" w:rsidRDefault="00532E93" w:rsidP="004D1D0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- </w:t>
      </w:r>
      <w:r w:rsidR="00D153DD">
        <w:rPr>
          <w:rFonts w:ascii="Arial" w:eastAsia="Calibri" w:hAnsi="Arial" w:cs="Arial"/>
          <w:sz w:val="24"/>
          <w:szCs w:val="24"/>
        </w:rPr>
        <w:t>з</w:t>
      </w:r>
      <w:r w:rsidRPr="00D153DD">
        <w:rPr>
          <w:rFonts w:ascii="Arial" w:eastAsia="Calibri" w:hAnsi="Arial" w:cs="Arial"/>
          <w:sz w:val="24"/>
          <w:szCs w:val="24"/>
        </w:rPr>
        <w:t xml:space="preserve">амена светильников на </w:t>
      </w:r>
      <w:proofErr w:type="gramStart"/>
      <w:r w:rsidRPr="00D153DD">
        <w:rPr>
          <w:rFonts w:ascii="Arial" w:eastAsia="Calibri" w:hAnsi="Arial" w:cs="Arial"/>
          <w:sz w:val="24"/>
          <w:szCs w:val="24"/>
        </w:rPr>
        <w:t>энергосберегающие</w:t>
      </w:r>
      <w:proofErr w:type="gramEnd"/>
      <w:r w:rsidRPr="00D153DD">
        <w:rPr>
          <w:rFonts w:ascii="Arial" w:eastAsia="Calibri" w:hAnsi="Arial" w:cs="Arial"/>
          <w:sz w:val="24"/>
          <w:szCs w:val="24"/>
        </w:rPr>
        <w:t>;</w:t>
      </w:r>
    </w:p>
    <w:p w:rsidR="00532E93" w:rsidRPr="00D153DD" w:rsidRDefault="00532E93" w:rsidP="004D1D02">
      <w:pPr>
        <w:widowControl w:val="0"/>
        <w:autoSpaceDE w:val="0"/>
        <w:autoSpaceDN w:val="0"/>
        <w:adjustRightInd w:val="0"/>
        <w:spacing w:after="0" w:line="240" w:lineRule="auto"/>
        <w:ind w:left="-45" w:right="-108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153DD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амена офисной техники на технику с высоким классом энергетической эффективности.</w:t>
      </w:r>
    </w:p>
    <w:p w:rsidR="009C4282" w:rsidRPr="00D153DD" w:rsidRDefault="009C4282" w:rsidP="004D1D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5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электроснабжение);</w:t>
      </w:r>
    </w:p>
    <w:p w:rsidR="009C4282" w:rsidRPr="00D153DD" w:rsidRDefault="009C4282" w:rsidP="00D153D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- постановка на учет выявленных бесхозяйных объектов, используемых для передачи энергетических ресурсов, и последующее оформление права муниципальной собственности на такие объекты.</w:t>
      </w:r>
    </w:p>
    <w:p w:rsidR="00532E93" w:rsidRPr="00D153DD" w:rsidRDefault="00532E93" w:rsidP="00F05FA9">
      <w:pPr>
        <w:widowControl w:val="0"/>
        <w:autoSpaceDE w:val="0"/>
        <w:autoSpaceDN w:val="0"/>
        <w:adjustRightInd w:val="0"/>
        <w:spacing w:after="0" w:line="240" w:lineRule="auto"/>
        <w:ind w:left="-45" w:right="-108"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Направленные на снижение электропотребления, отражают современные </w:t>
      </w:r>
      <w:proofErr w:type="gramStart"/>
      <w:r w:rsidRPr="00D153DD">
        <w:rPr>
          <w:rFonts w:ascii="Arial" w:eastAsia="Times New Roman" w:hAnsi="Arial" w:cs="Arial"/>
          <w:sz w:val="24"/>
          <w:szCs w:val="24"/>
          <w:lang w:eastAsia="ru-RU"/>
        </w:rPr>
        <w:t>научно-технически</w:t>
      </w:r>
      <w:proofErr w:type="gramEnd"/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достижения в области энергосбережения. Сроки окупаемости определены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 Срок окупаемости мероприятий не превышает нормативный срок эксплуатации оборудования, на котором вн</w:t>
      </w:r>
      <w:r w:rsidR="00D153DD">
        <w:rPr>
          <w:rFonts w:ascii="Arial" w:eastAsia="Times New Roman" w:hAnsi="Arial" w:cs="Arial"/>
          <w:sz w:val="24"/>
          <w:szCs w:val="24"/>
          <w:lang w:eastAsia="ru-RU"/>
        </w:rPr>
        <w:t>едряется указанное мероприятие</w:t>
      </w:r>
      <w:proofErr w:type="gramStart"/>
      <w:r w:rsidR="00D153DD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D153DD" w:rsidRDefault="002F7F5D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1.2. Таблицу «Перечень мероприятий программы энергосбережения и повышения энергетической эффективности» дополнить</w:t>
      </w:r>
      <w:r w:rsidR="004D1D02">
        <w:rPr>
          <w:rFonts w:ascii="Arial" w:eastAsia="Times New Roman" w:hAnsi="Arial" w:cs="Arial"/>
          <w:sz w:val="24"/>
          <w:szCs w:val="24"/>
          <w:lang w:eastAsia="ru-RU"/>
        </w:rPr>
        <w:t xml:space="preserve"> строками следующего содержания:</w:t>
      </w:r>
    </w:p>
    <w:p w:rsidR="00D153DD" w:rsidRDefault="00D153DD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153DD" w:rsidSect="00D153DD">
          <w:pgSz w:w="11906" w:h="16838"/>
          <w:pgMar w:top="992" w:right="849" w:bottom="1134" w:left="1701" w:header="709" w:footer="709" w:gutter="0"/>
          <w:cols w:space="708"/>
          <w:docGrid w:linePitch="360"/>
        </w:sectPr>
      </w:pPr>
    </w:p>
    <w:tbl>
      <w:tblPr>
        <w:tblW w:w="15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040"/>
        <w:gridCol w:w="709"/>
        <w:gridCol w:w="709"/>
        <w:gridCol w:w="567"/>
        <w:gridCol w:w="850"/>
        <w:gridCol w:w="851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  <w:gridCol w:w="703"/>
      </w:tblGrid>
      <w:tr w:rsidR="001C2FAD" w:rsidRPr="00D153DD" w:rsidTr="001C2FAD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2F7F5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2FAD" w:rsidRPr="00D153DD" w:rsidTr="001C2FAD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учет выявленных бесхозяйных объектов, используемых для передачи энергетических ресурсов, и последующее оформление права муниципальной собственности на такие объекты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F5D" w:rsidRPr="00D153DD" w:rsidRDefault="002F7F5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2FAD" w:rsidRPr="00D153DD" w:rsidRDefault="001C2FAD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F5D" w:rsidRPr="00D153DD" w:rsidRDefault="001C2FAD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>1.3. Таблицу «Форма отчета о реализации мероприятий программы энергосбережения и повышения энергетической эффективности на 1 января 20__ г.» изложить в новой редакции:</w:t>
      </w:r>
    </w:p>
    <w:p w:rsidR="00F05FA9" w:rsidRPr="00D153DD" w:rsidRDefault="00D153DD" w:rsidP="00F05F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>Форма отчета о реализации мероприятий программы энергосбережения и повышения энергетической эффективности на 1 января 20__ г</w:t>
      </w:r>
    </w:p>
    <w:p w:rsidR="001C2FAD" w:rsidRPr="00D153DD" w:rsidRDefault="001C2FAD" w:rsidP="00F05F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Администрация Подгоренского сельского поселения Калачеевского муниципального района 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1C2FAD" w:rsidRPr="00D153DD" w:rsidTr="00AF4224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Финансовое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реализации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мероприятий</w:t>
            </w:r>
            <w:proofErr w:type="spellEnd"/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Экономия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топливно-энергетических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</w:tr>
      <w:tr w:rsidR="001C2FAD" w:rsidRPr="00D153DD" w:rsidTr="00AF4224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натуральном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выражении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1C2FAD" w:rsidRPr="00D153DD" w:rsidTr="00AF4224">
        <w:trPr>
          <w:trHeight w:val="322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план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факт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отклонение</w:t>
            </w:r>
            <w:proofErr w:type="spellEnd"/>
          </w:p>
        </w:tc>
      </w:tr>
      <w:tr w:rsidR="001C2FAD" w:rsidRPr="00D153DD" w:rsidTr="00AF4224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источник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объем</w:t>
            </w:r>
            <w:proofErr w:type="spellEnd"/>
            <w:proofErr w:type="gram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руб</w:t>
            </w:r>
            <w:proofErr w:type="spellEnd"/>
            <w:proofErr w:type="gram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количество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ед</w:t>
            </w:r>
            <w:proofErr w:type="spellEnd"/>
            <w:proofErr w:type="gram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изм</w:t>
            </w:r>
            <w:proofErr w:type="spellEnd"/>
            <w:proofErr w:type="gramEnd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1C2FAD" w:rsidRPr="00D153DD" w:rsidTr="00AF4224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план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факт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отклонение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план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факт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отклонение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1C2FAD" w:rsidRPr="00D153DD" w:rsidTr="00AF4224">
        <w:trPr>
          <w:trHeight w:val="318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C2FAD" w:rsidRPr="00D153DD" w:rsidRDefault="001C2FAD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</w:tr>
      <w:tr w:rsidR="00F05FA9" w:rsidRPr="00D153DD" w:rsidTr="00AF4224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ежеквартального анализа потребления </w:t>
            </w: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ТЭР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F05FA9" w:rsidRPr="00D153DD" w:rsidTr="00AF4224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F05FA9" w:rsidRPr="00D153DD" w:rsidTr="00AF4224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hAnsi="Arial" w:cs="Arial"/>
                <w:sz w:val="24"/>
                <w:szCs w:val="24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FA9" w:rsidRPr="00D153DD" w:rsidTr="00AF4224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средств наглядной агитации по энергосбережению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FA9" w:rsidRPr="00D153DD" w:rsidTr="00AF4224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светильников на </w:t>
            </w:r>
            <w:proofErr w:type="gramStart"/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энергосберегающие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F05FA9" w:rsidRPr="00D153DD" w:rsidTr="00BD5FAA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офисной техники на технику с высоким классом энергетической эффективности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F05FA9" w:rsidRPr="00D153DD" w:rsidTr="007E0FA3">
        <w:trPr>
          <w:trHeight w:val="1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бесхозяйных объектов недвижимого имущества, используемых для передачи </w:t>
            </w: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энергетических ресурсов (включая газоснабжение, тепло- и электроснабжение)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FA9" w:rsidRPr="00D153DD" w:rsidTr="007E0FA3">
        <w:trPr>
          <w:trHeight w:val="195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учет выявленных бесхозяйных объектов, используемых для передачи энергетических ресурсов, и последующее оформление права муниципальной собственности на такие объекты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5FA9" w:rsidRPr="00D153DD" w:rsidTr="00AF4224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мероприятиям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D153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FA9" w:rsidRPr="00D153DD" w:rsidRDefault="00F05FA9" w:rsidP="00F0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1C2FAD" w:rsidRPr="00D153DD" w:rsidRDefault="001C2FAD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2FAD" w:rsidRPr="00D153DD" w:rsidRDefault="001C2FAD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>Руководитель</w:t>
      </w:r>
    </w:p>
    <w:p w:rsidR="001C2FAD" w:rsidRPr="00D153DD" w:rsidRDefault="001C2FAD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>(уполномоченное лицо) __________________________  ________________________</w:t>
      </w:r>
    </w:p>
    <w:p w:rsidR="001C2FAD" w:rsidRPr="00D153DD" w:rsidRDefault="001C2FAD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                                                         </w:t>
      </w:r>
      <w:r w:rsidR="00F05FA9" w:rsidRPr="00D153DD"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 w:rsidRPr="00D153DD">
        <w:rPr>
          <w:rFonts w:ascii="Arial" w:eastAsia="Calibri" w:hAnsi="Arial" w:cs="Arial"/>
          <w:sz w:val="24"/>
          <w:szCs w:val="24"/>
        </w:rPr>
        <w:t xml:space="preserve">     (должность)                                   (расшифровка подписи) </w:t>
      </w:r>
    </w:p>
    <w:p w:rsidR="001C2FAD" w:rsidRDefault="00D153DD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3DD">
        <w:rPr>
          <w:rFonts w:ascii="Arial" w:eastAsia="Calibri" w:hAnsi="Arial" w:cs="Arial"/>
          <w:sz w:val="24"/>
          <w:szCs w:val="24"/>
        </w:rPr>
        <w:t xml:space="preserve"> </w:t>
      </w:r>
      <w:r w:rsidR="001C2FAD" w:rsidRPr="00D153DD">
        <w:rPr>
          <w:rFonts w:ascii="Arial" w:eastAsia="Calibri" w:hAnsi="Arial" w:cs="Arial"/>
          <w:sz w:val="24"/>
          <w:szCs w:val="24"/>
        </w:rPr>
        <w:t>«___»___________ 20__ г.</w:t>
      </w:r>
      <w:r w:rsidR="000B518A">
        <w:rPr>
          <w:rFonts w:ascii="Arial" w:eastAsia="Calibri" w:hAnsi="Arial" w:cs="Arial"/>
          <w:sz w:val="24"/>
          <w:szCs w:val="24"/>
        </w:rPr>
        <w:t>»</w:t>
      </w:r>
    </w:p>
    <w:p w:rsidR="000B518A" w:rsidRDefault="000B518A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518A" w:rsidRDefault="000B518A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518A" w:rsidRDefault="000B518A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B518A" w:rsidRPr="00D153DD" w:rsidRDefault="000B518A" w:rsidP="00F05F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C2FAD" w:rsidRPr="00D153DD" w:rsidRDefault="001C2FAD" w:rsidP="00F0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C2FAD" w:rsidRPr="00D153DD" w:rsidSect="00D153DD">
          <w:pgSz w:w="16838" w:h="11906" w:orient="landscape"/>
          <w:pgMar w:top="709" w:right="992" w:bottom="1276" w:left="1134" w:header="709" w:footer="709" w:gutter="0"/>
          <w:cols w:space="708"/>
          <w:docGrid w:linePitch="360"/>
        </w:sectPr>
      </w:pPr>
    </w:p>
    <w:p w:rsidR="001C2FAD" w:rsidRPr="00D153DD" w:rsidRDefault="001C2FAD" w:rsidP="00F05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8E1" w:rsidRPr="00D153DD" w:rsidRDefault="003C48E1" w:rsidP="00D153D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F05FA9" w:rsidRPr="00D153DD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на официальном сайте администрации </w:t>
      </w:r>
      <w:r w:rsidR="00F05FA9" w:rsidRPr="00D153DD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района.</w:t>
      </w:r>
    </w:p>
    <w:p w:rsidR="00DC6E3B" w:rsidRPr="00D153DD" w:rsidRDefault="00627AA1" w:rsidP="00D153D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DC6E3B" w:rsidRPr="00D153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6E3B" w:rsidRPr="00D153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B65E70" w:rsidRPr="00D153DD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F52845" w:rsidRPr="00D153DD" w:rsidRDefault="00F52845" w:rsidP="00F05FA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p w:rsidR="00502D1D" w:rsidRPr="00D153DD" w:rsidRDefault="00502D1D" w:rsidP="00F05FA9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502D1D" w:rsidRPr="00D153DD" w:rsidRDefault="00502D1D" w:rsidP="00F05FA9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53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r w:rsidR="00F05FA9" w:rsidRPr="00D153DD">
        <w:rPr>
          <w:rFonts w:ascii="Arial" w:eastAsia="Times New Roman" w:hAnsi="Arial" w:cs="Arial"/>
          <w:b/>
          <w:sz w:val="24"/>
          <w:szCs w:val="24"/>
          <w:lang w:eastAsia="ru-RU"/>
        </w:rPr>
        <w:t>Подгоренского</w:t>
      </w:r>
    </w:p>
    <w:p w:rsidR="00265CDA" w:rsidRPr="00D153DD" w:rsidRDefault="00502D1D" w:rsidP="00265CDA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D153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        </w:t>
      </w:r>
      <w:r w:rsidR="00265CDA" w:rsidRPr="00D153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 w:rsidRPr="00D153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proofErr w:type="spellStart"/>
      <w:r w:rsidR="00265CDA" w:rsidRPr="00D153DD">
        <w:rPr>
          <w:rFonts w:ascii="Arial" w:eastAsia="Times New Roman" w:hAnsi="Arial" w:cs="Arial"/>
          <w:b/>
          <w:sz w:val="24"/>
          <w:szCs w:val="24"/>
          <w:lang w:eastAsia="ru-RU"/>
        </w:rPr>
        <w:t>А.С.Разборский</w:t>
      </w:r>
      <w:proofErr w:type="spellEnd"/>
    </w:p>
    <w:sectPr w:rsidR="00265CDA" w:rsidRPr="00D153DD" w:rsidSect="00D153DD">
      <w:pgSz w:w="11906" w:h="16838"/>
      <w:pgMar w:top="1418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6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2BE"/>
    <w:rsid w:val="000036D9"/>
    <w:rsid w:val="000146BF"/>
    <w:rsid w:val="00025279"/>
    <w:rsid w:val="00025CEF"/>
    <w:rsid w:val="000369DA"/>
    <w:rsid w:val="000452B7"/>
    <w:rsid w:val="000459A3"/>
    <w:rsid w:val="00046546"/>
    <w:rsid w:val="00046ACE"/>
    <w:rsid w:val="00052CAF"/>
    <w:rsid w:val="0006180F"/>
    <w:rsid w:val="00071FF7"/>
    <w:rsid w:val="00093991"/>
    <w:rsid w:val="000A7A26"/>
    <w:rsid w:val="000B518A"/>
    <w:rsid w:val="000C0131"/>
    <w:rsid w:val="000C108E"/>
    <w:rsid w:val="000C123A"/>
    <w:rsid w:val="000E1C2B"/>
    <w:rsid w:val="000F198D"/>
    <w:rsid w:val="001158A1"/>
    <w:rsid w:val="00124AD2"/>
    <w:rsid w:val="00163BE7"/>
    <w:rsid w:val="001708EC"/>
    <w:rsid w:val="0017176A"/>
    <w:rsid w:val="001717B2"/>
    <w:rsid w:val="001A6044"/>
    <w:rsid w:val="001C0D1B"/>
    <w:rsid w:val="001C2FAD"/>
    <w:rsid w:val="001E2230"/>
    <w:rsid w:val="002170E8"/>
    <w:rsid w:val="00227E28"/>
    <w:rsid w:val="00242D22"/>
    <w:rsid w:val="00253F19"/>
    <w:rsid w:val="00254D8D"/>
    <w:rsid w:val="00265CDA"/>
    <w:rsid w:val="002726AC"/>
    <w:rsid w:val="002A0D2A"/>
    <w:rsid w:val="002A2FE7"/>
    <w:rsid w:val="002A3FE2"/>
    <w:rsid w:val="002F5A92"/>
    <w:rsid w:val="002F7F5D"/>
    <w:rsid w:val="00306FF5"/>
    <w:rsid w:val="00326CAE"/>
    <w:rsid w:val="00330D61"/>
    <w:rsid w:val="003348EF"/>
    <w:rsid w:val="00340C1B"/>
    <w:rsid w:val="003472B5"/>
    <w:rsid w:val="003514A5"/>
    <w:rsid w:val="003752BF"/>
    <w:rsid w:val="003A75CA"/>
    <w:rsid w:val="003C167B"/>
    <w:rsid w:val="003C48E1"/>
    <w:rsid w:val="003D2FA3"/>
    <w:rsid w:val="003E16E6"/>
    <w:rsid w:val="003E283D"/>
    <w:rsid w:val="004169B9"/>
    <w:rsid w:val="004245BA"/>
    <w:rsid w:val="00425093"/>
    <w:rsid w:val="00427806"/>
    <w:rsid w:val="004315D7"/>
    <w:rsid w:val="00432AA9"/>
    <w:rsid w:val="00441DE4"/>
    <w:rsid w:val="00451CB8"/>
    <w:rsid w:val="00454AD9"/>
    <w:rsid w:val="00456BDD"/>
    <w:rsid w:val="0046444A"/>
    <w:rsid w:val="00471EBD"/>
    <w:rsid w:val="004B2C49"/>
    <w:rsid w:val="004C5054"/>
    <w:rsid w:val="004D1D02"/>
    <w:rsid w:val="004D540C"/>
    <w:rsid w:val="00502D1D"/>
    <w:rsid w:val="00522EC9"/>
    <w:rsid w:val="005318B2"/>
    <w:rsid w:val="00532E93"/>
    <w:rsid w:val="0057396F"/>
    <w:rsid w:val="005962B2"/>
    <w:rsid w:val="005A4B87"/>
    <w:rsid w:val="005A53D9"/>
    <w:rsid w:val="005B1B7D"/>
    <w:rsid w:val="005B58BC"/>
    <w:rsid w:val="005D6EA3"/>
    <w:rsid w:val="005E3EFF"/>
    <w:rsid w:val="005F59DA"/>
    <w:rsid w:val="00600BF3"/>
    <w:rsid w:val="0060264E"/>
    <w:rsid w:val="00616A91"/>
    <w:rsid w:val="00627AA1"/>
    <w:rsid w:val="00632491"/>
    <w:rsid w:val="006370D5"/>
    <w:rsid w:val="00637E16"/>
    <w:rsid w:val="00653C00"/>
    <w:rsid w:val="006622BE"/>
    <w:rsid w:val="006635E8"/>
    <w:rsid w:val="006669E6"/>
    <w:rsid w:val="00683CA4"/>
    <w:rsid w:val="006855B1"/>
    <w:rsid w:val="00691C0B"/>
    <w:rsid w:val="00693AFA"/>
    <w:rsid w:val="006A1F64"/>
    <w:rsid w:val="006C510B"/>
    <w:rsid w:val="006D5105"/>
    <w:rsid w:val="006D78D2"/>
    <w:rsid w:val="006F2024"/>
    <w:rsid w:val="006F297A"/>
    <w:rsid w:val="006F4DE8"/>
    <w:rsid w:val="007131C5"/>
    <w:rsid w:val="00720970"/>
    <w:rsid w:val="0075482E"/>
    <w:rsid w:val="0076037F"/>
    <w:rsid w:val="00765C51"/>
    <w:rsid w:val="0079786D"/>
    <w:rsid w:val="007B0D79"/>
    <w:rsid w:val="007C4043"/>
    <w:rsid w:val="007C7459"/>
    <w:rsid w:val="007D73FC"/>
    <w:rsid w:val="007E1A8D"/>
    <w:rsid w:val="00802F8E"/>
    <w:rsid w:val="008107D7"/>
    <w:rsid w:val="00883D1D"/>
    <w:rsid w:val="0089109C"/>
    <w:rsid w:val="008928C9"/>
    <w:rsid w:val="00892CFA"/>
    <w:rsid w:val="008C4E50"/>
    <w:rsid w:val="009042C4"/>
    <w:rsid w:val="009059D1"/>
    <w:rsid w:val="00910956"/>
    <w:rsid w:val="0091296C"/>
    <w:rsid w:val="00920898"/>
    <w:rsid w:val="00944EC2"/>
    <w:rsid w:val="00970735"/>
    <w:rsid w:val="00987CCD"/>
    <w:rsid w:val="009A73D9"/>
    <w:rsid w:val="009C4282"/>
    <w:rsid w:val="009D0B7A"/>
    <w:rsid w:val="009D0BD2"/>
    <w:rsid w:val="009D1CC8"/>
    <w:rsid w:val="009F536C"/>
    <w:rsid w:val="009F6086"/>
    <w:rsid w:val="00A0104E"/>
    <w:rsid w:val="00A162AE"/>
    <w:rsid w:val="00A249EE"/>
    <w:rsid w:val="00A44B55"/>
    <w:rsid w:val="00A4683A"/>
    <w:rsid w:val="00A47ACF"/>
    <w:rsid w:val="00A56DD8"/>
    <w:rsid w:val="00A73BF0"/>
    <w:rsid w:val="00A97F37"/>
    <w:rsid w:val="00AB71A8"/>
    <w:rsid w:val="00AC35EB"/>
    <w:rsid w:val="00B21FE3"/>
    <w:rsid w:val="00B31060"/>
    <w:rsid w:val="00B50A8E"/>
    <w:rsid w:val="00B65E70"/>
    <w:rsid w:val="00B707FC"/>
    <w:rsid w:val="00B75AE2"/>
    <w:rsid w:val="00B777F7"/>
    <w:rsid w:val="00B912AA"/>
    <w:rsid w:val="00B97F81"/>
    <w:rsid w:val="00BB6F32"/>
    <w:rsid w:val="00BC500B"/>
    <w:rsid w:val="00BE6107"/>
    <w:rsid w:val="00BF5F44"/>
    <w:rsid w:val="00C25A9E"/>
    <w:rsid w:val="00C40CD5"/>
    <w:rsid w:val="00C414CE"/>
    <w:rsid w:val="00C63CAB"/>
    <w:rsid w:val="00C83732"/>
    <w:rsid w:val="00C869F6"/>
    <w:rsid w:val="00C94180"/>
    <w:rsid w:val="00CC1299"/>
    <w:rsid w:val="00CC496F"/>
    <w:rsid w:val="00D12F54"/>
    <w:rsid w:val="00D153DD"/>
    <w:rsid w:val="00D52289"/>
    <w:rsid w:val="00D548BB"/>
    <w:rsid w:val="00D86F2C"/>
    <w:rsid w:val="00D97A89"/>
    <w:rsid w:val="00DA0B57"/>
    <w:rsid w:val="00DB58EB"/>
    <w:rsid w:val="00DC6E3B"/>
    <w:rsid w:val="00DF4185"/>
    <w:rsid w:val="00E02A9D"/>
    <w:rsid w:val="00E12DC1"/>
    <w:rsid w:val="00E218DD"/>
    <w:rsid w:val="00E24799"/>
    <w:rsid w:val="00E41F29"/>
    <w:rsid w:val="00E76DAF"/>
    <w:rsid w:val="00E93766"/>
    <w:rsid w:val="00EA4B3B"/>
    <w:rsid w:val="00EA686C"/>
    <w:rsid w:val="00EA71A8"/>
    <w:rsid w:val="00ED51AC"/>
    <w:rsid w:val="00EF111D"/>
    <w:rsid w:val="00F05FA9"/>
    <w:rsid w:val="00F121D8"/>
    <w:rsid w:val="00F15530"/>
    <w:rsid w:val="00F24F79"/>
    <w:rsid w:val="00F27A12"/>
    <w:rsid w:val="00F33FDB"/>
    <w:rsid w:val="00F511F9"/>
    <w:rsid w:val="00F52845"/>
    <w:rsid w:val="00F601AA"/>
    <w:rsid w:val="00F702BE"/>
    <w:rsid w:val="00F80D87"/>
    <w:rsid w:val="00F9544A"/>
    <w:rsid w:val="00FA79D1"/>
    <w:rsid w:val="00FB0F9E"/>
    <w:rsid w:val="00FB3885"/>
    <w:rsid w:val="00FB4A3E"/>
    <w:rsid w:val="00FC0A3F"/>
    <w:rsid w:val="00FC5F9A"/>
    <w:rsid w:val="00FD4E3E"/>
    <w:rsid w:val="00FE35A4"/>
    <w:rsid w:val="00FE3F1D"/>
    <w:rsid w:val="00FE5426"/>
    <w:rsid w:val="00FF241D"/>
    <w:rsid w:val="00FF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6"/>
  </w:style>
  <w:style w:type="paragraph" w:styleId="1">
    <w:name w:val="heading 1"/>
    <w:basedOn w:val="a"/>
    <w:next w:val="a"/>
    <w:link w:val="10"/>
    <w:uiPriority w:val="99"/>
    <w:qFormat/>
    <w:rsid w:val="002F5A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F5A92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99"/>
    <w:rsid w:val="00E4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6F2024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6F20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F2024"/>
    <w:rPr>
      <w:i/>
      <w:iCs/>
    </w:rPr>
  </w:style>
  <w:style w:type="character" w:styleId="ab">
    <w:name w:val="Hyperlink"/>
    <w:basedOn w:val="a0"/>
    <w:uiPriority w:val="99"/>
    <w:unhideWhenUsed/>
    <w:rsid w:val="00F33FDB"/>
    <w:rPr>
      <w:color w:val="0000FF"/>
      <w:u w:val="single"/>
    </w:rPr>
  </w:style>
  <w:style w:type="character" w:styleId="ac">
    <w:name w:val="Emphasis"/>
    <w:basedOn w:val="a0"/>
    <w:uiPriority w:val="20"/>
    <w:qFormat/>
    <w:rsid w:val="00326CAE"/>
    <w:rPr>
      <w:i/>
      <w:iCs/>
    </w:rPr>
  </w:style>
  <w:style w:type="paragraph" w:customStyle="1" w:styleId="s1">
    <w:name w:val="s_1"/>
    <w:basedOn w:val="a"/>
    <w:rsid w:val="0004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06FF5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06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45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6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B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56BDD"/>
  </w:style>
  <w:style w:type="table" w:customStyle="1" w:styleId="2">
    <w:name w:val="Сетка таблицы2"/>
    <w:basedOn w:val="a1"/>
    <w:next w:val="a3"/>
    <w:uiPriority w:val="59"/>
    <w:rsid w:val="00E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452B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f0">
    <w:name w:val="header"/>
    <w:basedOn w:val="a"/>
    <w:link w:val="af1"/>
    <w:uiPriority w:val="99"/>
    <w:unhideWhenUsed/>
    <w:rsid w:val="000452B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0452B7"/>
    <w:rPr>
      <w:rFonts w:ascii="Times New Roman" w:eastAsia="Calibri" w:hAnsi="Times New Roman" w:cs="Times New Roman"/>
      <w:sz w:val="24"/>
      <w:lang w:val="en-US"/>
    </w:rPr>
  </w:style>
  <w:style w:type="paragraph" w:styleId="af2">
    <w:name w:val="footer"/>
    <w:basedOn w:val="a"/>
    <w:link w:val="af3"/>
    <w:uiPriority w:val="99"/>
    <w:unhideWhenUsed/>
    <w:rsid w:val="000452B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0452B7"/>
    <w:rPr>
      <w:rFonts w:ascii="Times New Roman" w:eastAsia="Calibri" w:hAnsi="Times New Roman" w:cs="Times New Roman"/>
      <w:sz w:val="24"/>
      <w:lang w:val="en-US"/>
    </w:rPr>
  </w:style>
  <w:style w:type="table" w:customStyle="1" w:styleId="21">
    <w:name w:val="Сетка таблицы21"/>
    <w:basedOn w:val="a1"/>
    <w:next w:val="a3"/>
    <w:uiPriority w:val="59"/>
    <w:rsid w:val="0042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B148-83EB-42D6-AD48-8D15740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ОльгаФедоровна</dc:creator>
  <cp:keywords/>
  <dc:description/>
  <cp:lastModifiedBy>Admin</cp:lastModifiedBy>
  <cp:revision>9</cp:revision>
  <cp:lastPrinted>2025-04-29T11:22:00Z</cp:lastPrinted>
  <dcterms:created xsi:type="dcterms:W3CDTF">2025-04-21T10:12:00Z</dcterms:created>
  <dcterms:modified xsi:type="dcterms:W3CDTF">2025-04-29T11:23:00Z</dcterms:modified>
</cp:coreProperties>
</file>