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FF" w:rsidRDefault="00BF3EFF" w:rsidP="00BF3EFF">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BF3EFF" w:rsidRDefault="00BF3EFF" w:rsidP="00BF3EFF">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BF3EFF" w:rsidRDefault="00BF3EFF" w:rsidP="00BF3EFF">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BF3EFF" w:rsidRDefault="00BF3EFF" w:rsidP="00BF3EFF">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BF3EFF" w:rsidRDefault="00BF3EFF" w:rsidP="00BF3EFF">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BF3EFF" w:rsidRDefault="00BF3EFF" w:rsidP="00BF3EFF">
      <w:pPr>
        <w:jc w:val="center"/>
        <w:rPr>
          <w:rFonts w:ascii="Arial" w:eastAsia="Arial" w:hAnsi="Arial" w:cs="Arial"/>
          <w:b/>
          <w:caps/>
          <w:sz w:val="26"/>
          <w:szCs w:val="26"/>
        </w:rPr>
      </w:pPr>
    </w:p>
    <w:p w:rsidR="00BF3EFF" w:rsidRDefault="00BF3EFF" w:rsidP="00BF3EFF">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BF3EFF" w:rsidRDefault="00BF3EFF" w:rsidP="00BF3EFF">
      <w:pPr>
        <w:jc w:val="center"/>
        <w:rPr>
          <w:rFonts w:ascii="Arial" w:eastAsia="Arial" w:hAnsi="Arial" w:cs="Arial"/>
          <w:b/>
          <w:caps/>
          <w:sz w:val="26"/>
          <w:szCs w:val="26"/>
        </w:rPr>
      </w:pPr>
    </w:p>
    <w:p w:rsidR="00BF3EFF" w:rsidRDefault="00BF3EFF" w:rsidP="00BF3EFF">
      <w:pPr>
        <w:tabs>
          <w:tab w:val="left" w:pos="7635"/>
        </w:tabs>
        <w:rPr>
          <w:rFonts w:ascii="Arial" w:eastAsia="Calibri" w:hAnsi="Arial" w:cs="Arial"/>
          <w:sz w:val="26"/>
          <w:szCs w:val="26"/>
        </w:rPr>
      </w:pPr>
      <w:r>
        <w:rPr>
          <w:rFonts w:ascii="Arial" w:eastAsia="Calibri" w:hAnsi="Arial" w:cs="Arial"/>
          <w:sz w:val="26"/>
          <w:szCs w:val="26"/>
        </w:rPr>
        <w:t xml:space="preserve">от 14 февраля 2023 г. </w:t>
      </w:r>
      <w:r>
        <w:rPr>
          <w:rFonts w:ascii="Arial" w:eastAsia="Calibri" w:hAnsi="Arial" w:cs="Arial"/>
          <w:sz w:val="26"/>
          <w:szCs w:val="26"/>
        </w:rPr>
        <w:tab/>
        <w:t>№</w:t>
      </w:r>
      <w:r w:rsidR="00224F5A">
        <w:rPr>
          <w:rFonts w:ascii="Arial" w:eastAsia="Calibri" w:hAnsi="Arial" w:cs="Arial"/>
          <w:sz w:val="26"/>
          <w:szCs w:val="26"/>
        </w:rPr>
        <w:t>13</w:t>
      </w:r>
      <w:bookmarkStart w:id="0" w:name="_GoBack"/>
      <w:bookmarkEnd w:id="0"/>
    </w:p>
    <w:p w:rsidR="00BF3EFF" w:rsidRDefault="00BF3EFF" w:rsidP="00BF3EFF">
      <w:pPr>
        <w:ind w:left="708" w:hanging="708"/>
        <w:rPr>
          <w:rFonts w:ascii="Arial" w:eastAsia="Calibri" w:hAnsi="Arial" w:cs="Arial"/>
          <w:sz w:val="26"/>
          <w:szCs w:val="26"/>
        </w:rPr>
      </w:pPr>
      <w:r>
        <w:rPr>
          <w:rFonts w:ascii="Arial" w:eastAsia="Calibri" w:hAnsi="Arial" w:cs="Arial"/>
          <w:sz w:val="26"/>
          <w:szCs w:val="26"/>
        </w:rPr>
        <w:t>с. Подгорное</w:t>
      </w:r>
    </w:p>
    <w:p w:rsidR="00BF3EFF" w:rsidRDefault="00BF3EFF" w:rsidP="00BF3EFF">
      <w:pPr>
        <w:rPr>
          <w:rFonts w:ascii="Arial" w:hAnsi="Arial" w:cs="Arial"/>
          <w:sz w:val="26"/>
          <w:szCs w:val="26"/>
          <w:u w:val="single"/>
        </w:rPr>
      </w:pPr>
    </w:p>
    <w:p w:rsidR="00BF3EFF" w:rsidRDefault="00BF3EFF" w:rsidP="00BF3EFF">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F3EFF" w:rsidRDefault="00BF3EFF" w:rsidP="00BF3EFF">
      <w:pPr>
        <w:ind w:right="-1"/>
        <w:jc w:val="center"/>
        <w:rPr>
          <w:rFonts w:ascii="Arial" w:eastAsia="Calibri" w:hAnsi="Arial" w:cs="Arial"/>
          <w:b/>
          <w:sz w:val="26"/>
          <w:szCs w:val="26"/>
        </w:rPr>
      </w:pPr>
      <w:r>
        <w:rPr>
          <w:rFonts w:ascii="Arial" w:hAnsi="Arial" w:cs="Arial"/>
          <w:b/>
          <w:sz w:val="26"/>
          <w:szCs w:val="26"/>
        </w:rPr>
        <w:t>(в редакции от 20.04.2017 №22, от 21.01.2019 г. №9)</w:t>
      </w:r>
    </w:p>
    <w:p w:rsidR="00BF3EFF" w:rsidRDefault="00BF3EFF" w:rsidP="00BF3EFF">
      <w:pPr>
        <w:jc w:val="both"/>
        <w:rPr>
          <w:rFonts w:ascii="Arial" w:eastAsia="Calibri" w:hAnsi="Arial" w:cs="Arial"/>
          <w:sz w:val="26"/>
          <w:szCs w:val="26"/>
        </w:rPr>
      </w:pPr>
    </w:p>
    <w:p w:rsidR="00BF3EFF" w:rsidRDefault="00BF3EFF" w:rsidP="00BF3EFF">
      <w:pPr>
        <w:numPr>
          <w:ilvl w:val="12"/>
          <w:numId w:val="0"/>
        </w:numPr>
        <w:ind w:firstLine="567"/>
        <w:jc w:val="both"/>
        <w:rPr>
          <w:rFonts w:ascii="Arial" w:hAnsi="Arial" w:cs="Arial"/>
          <w:b/>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w:t>
      </w:r>
      <w:r>
        <w:rPr>
          <w:rFonts w:ascii="Arial" w:hAnsi="Arial" w:cs="Arial"/>
          <w:color w:val="000000" w:themeColor="text1"/>
          <w:sz w:val="26"/>
          <w:szCs w:val="26"/>
        </w:rPr>
        <w:t>протест прокуратуры Калачеевского района от 29.12.2018 №2-1-2018</w:t>
      </w:r>
      <w:r>
        <w:rPr>
          <w:rFonts w:ascii="Arial" w:hAnsi="Arial" w:cs="Arial"/>
          <w:color w:val="FF0000"/>
          <w:sz w:val="26"/>
          <w:szCs w:val="26"/>
        </w:rPr>
        <w:t xml:space="preserve"> </w:t>
      </w:r>
      <w:r>
        <w:rPr>
          <w:rFonts w:ascii="Arial" w:hAnsi="Arial" w:cs="Arial"/>
          <w:sz w:val="26"/>
          <w:szCs w:val="26"/>
        </w:rPr>
        <w:t>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w:t>
      </w:r>
      <w:proofErr w:type="gramEnd"/>
      <w:r>
        <w:rPr>
          <w:rFonts w:ascii="Arial" w:hAnsi="Arial" w:cs="Arial"/>
          <w:sz w:val="26"/>
          <w:szCs w:val="26"/>
        </w:rPr>
        <w:t xml:space="preserve"> поселения Калачеевского муниципального района Воронежской области </w:t>
      </w: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BF3EFF" w:rsidRDefault="00BF3EFF" w:rsidP="00BF3EFF">
      <w:pPr>
        <w:suppressAutoHyphens/>
        <w:ind w:firstLine="567"/>
        <w:jc w:val="both"/>
        <w:rPr>
          <w:rFonts w:ascii="Arial" w:hAnsi="Arial" w:cs="Arial"/>
          <w:sz w:val="26"/>
          <w:szCs w:val="26"/>
        </w:rPr>
      </w:pPr>
    </w:p>
    <w:p w:rsidR="00BF3EFF" w:rsidRDefault="00BF3EFF" w:rsidP="00BF3EFF">
      <w:pPr>
        <w:ind w:right="-1" w:firstLine="567"/>
        <w:jc w:val="both"/>
        <w:rPr>
          <w:rFonts w:ascii="Arial" w:eastAsia="Calibri" w:hAnsi="Arial" w:cs="Arial"/>
          <w:sz w:val="26"/>
          <w:szCs w:val="26"/>
        </w:rPr>
      </w:pPr>
      <w:r>
        <w:rPr>
          <w:rFonts w:ascii="Arial" w:hAnsi="Arial" w:cs="Arial"/>
          <w:sz w:val="26"/>
          <w:szCs w:val="26"/>
        </w:rPr>
        <w:t>1. Внести в постановление администрации Подгоренского сельского поселения Калачеевского муниципального района от 07.07.2016 г. № 73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eastAsia="Calibri" w:hAnsi="Arial" w:cs="Arial"/>
          <w:sz w:val="26"/>
          <w:szCs w:val="26"/>
        </w:rPr>
        <w:t xml:space="preserve"> </w:t>
      </w:r>
      <w:r w:rsidRPr="00BF3EFF">
        <w:rPr>
          <w:rFonts w:ascii="Arial" w:hAnsi="Arial" w:cs="Arial"/>
          <w:sz w:val="26"/>
          <w:szCs w:val="26"/>
        </w:rPr>
        <w:t xml:space="preserve">(в редакции от 20.04.2017 №22, от 21.01.2019 г. №9) </w:t>
      </w:r>
      <w:r>
        <w:rPr>
          <w:rFonts w:ascii="Arial" w:eastAsia="Calibri" w:hAnsi="Arial" w:cs="Arial"/>
          <w:sz w:val="26"/>
          <w:szCs w:val="26"/>
        </w:rPr>
        <w:t xml:space="preserve">следующие изменения: </w:t>
      </w:r>
    </w:p>
    <w:p w:rsidR="00BF3EFF" w:rsidRPr="00EE59E5" w:rsidRDefault="00BF3EFF" w:rsidP="00BF3EFF">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BF3EFF" w:rsidRPr="00EE59E5" w:rsidRDefault="00BF3EFF" w:rsidP="00BF3EF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BF3EFF" w:rsidRPr="00EE59E5" w:rsidRDefault="00BF3EFF" w:rsidP="00BF3EFF">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F3EFF" w:rsidRPr="00EE59E5" w:rsidRDefault="00BF3EFF" w:rsidP="00BF3EFF">
      <w:pPr>
        <w:tabs>
          <w:tab w:val="left" w:pos="540"/>
          <w:tab w:val="left" w:pos="720"/>
          <w:tab w:val="left" w:pos="900"/>
        </w:tabs>
        <w:suppressAutoHyphens/>
        <w:ind w:firstLine="709"/>
        <w:jc w:val="center"/>
        <w:rPr>
          <w:rFonts w:ascii="Arial" w:hAnsi="Arial" w:cs="Arial"/>
          <w:lang w:eastAsia="ar-SA"/>
        </w:rPr>
      </w:pP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E59E5">
        <w:rPr>
          <w:rFonts w:ascii="Arial" w:hAnsi="Arial" w:cs="Arial"/>
          <w:lang w:eastAsia="ar-SA"/>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нарушение срока или порядка выдачи документов по результатам предоставления муниципальной услуги;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EE59E5">
        <w:rPr>
          <w:rFonts w:ascii="Arial" w:hAnsi="Arial" w:cs="Arial"/>
          <w:lang w:eastAsia="ar-SA"/>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EE59E5">
        <w:rPr>
          <w:rFonts w:ascii="Arial" w:hAnsi="Arial" w:cs="Arial"/>
          <w:lang w:eastAsia="ar-SA"/>
        </w:rPr>
        <w:lastRenderedPageBreak/>
        <w:t>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BF3EFF" w:rsidRPr="00EE59E5" w:rsidRDefault="00BF3EFF" w:rsidP="00BF3EFF">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BF3EFF" w:rsidRPr="00EE59E5" w:rsidRDefault="00BF3EFF" w:rsidP="00BF3EFF">
      <w:pPr>
        <w:tabs>
          <w:tab w:val="left" w:pos="540"/>
          <w:tab w:val="left" w:pos="720"/>
          <w:tab w:val="left" w:pos="900"/>
        </w:tabs>
        <w:suppressAutoHyphens/>
        <w:jc w:val="both"/>
        <w:rPr>
          <w:rFonts w:ascii="Arial" w:hAnsi="Arial" w:cs="Arial"/>
          <w:b/>
          <w:lang w:eastAsia="ar-SA"/>
        </w:rPr>
      </w:pPr>
    </w:p>
    <w:p w:rsidR="00BF3EFF" w:rsidRPr="00EE59E5" w:rsidRDefault="00BF3EFF" w:rsidP="00BF3EFF">
      <w:pPr>
        <w:tabs>
          <w:tab w:val="left" w:pos="540"/>
          <w:tab w:val="left" w:pos="720"/>
          <w:tab w:val="left" w:pos="900"/>
        </w:tabs>
        <w:suppressAutoHyphens/>
        <w:jc w:val="both"/>
        <w:rPr>
          <w:rFonts w:ascii="Arial" w:hAnsi="Arial" w:cs="Arial"/>
          <w:b/>
          <w:lang w:eastAsia="ar-SA"/>
        </w:rPr>
      </w:pPr>
    </w:p>
    <w:p w:rsidR="00BF3EFF" w:rsidRPr="00EE59E5" w:rsidRDefault="00BF3EFF" w:rsidP="00BF3EFF">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BF3EFF" w:rsidRPr="00EE59E5" w:rsidRDefault="00BF3EFF" w:rsidP="00BF3EFF">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BF3EFF" w:rsidRPr="00EE59E5" w:rsidRDefault="00BF3EFF" w:rsidP="00BF3EFF">
      <w:pPr>
        <w:rPr>
          <w:rFonts w:ascii="Arial" w:hAnsi="Arial" w:cs="Arial"/>
        </w:rPr>
      </w:pPr>
    </w:p>
    <w:p w:rsidR="00BF3EFF" w:rsidRDefault="00BF3EFF" w:rsidP="00BF3EFF"/>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FF"/>
    <w:rsid w:val="00224F5A"/>
    <w:rsid w:val="00BF3EFF"/>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F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F5A"/>
    <w:rPr>
      <w:rFonts w:ascii="Tahoma" w:hAnsi="Tahoma" w:cs="Tahoma"/>
      <w:sz w:val="16"/>
      <w:szCs w:val="16"/>
    </w:rPr>
  </w:style>
  <w:style w:type="character" w:customStyle="1" w:styleId="a4">
    <w:name w:val="Текст выноски Знак"/>
    <w:basedOn w:val="a0"/>
    <w:link w:val="a3"/>
    <w:uiPriority w:val="99"/>
    <w:semiHidden/>
    <w:rsid w:val="00224F5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FF"/>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F5A"/>
    <w:rPr>
      <w:rFonts w:ascii="Tahoma" w:hAnsi="Tahoma" w:cs="Tahoma"/>
      <w:sz w:val="16"/>
      <w:szCs w:val="16"/>
    </w:rPr>
  </w:style>
  <w:style w:type="character" w:customStyle="1" w:styleId="a4">
    <w:name w:val="Текст выноски Знак"/>
    <w:basedOn w:val="a0"/>
    <w:link w:val="a3"/>
    <w:uiPriority w:val="99"/>
    <w:semiHidden/>
    <w:rsid w:val="00224F5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2023-02-13T12:16:00Z</cp:lastPrinted>
  <dcterms:created xsi:type="dcterms:W3CDTF">2023-02-03T07:23:00Z</dcterms:created>
  <dcterms:modified xsi:type="dcterms:W3CDTF">2023-02-13T12:17:00Z</dcterms:modified>
</cp:coreProperties>
</file>